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BD531E" w:rsidP="00BD531E">
            <w:pPr>
              <w:spacing w:after="0" w:line="240" w:lineRule="auto"/>
              <w:jc w:val="center"/>
              <w:rPr>
                <w:rFonts w:ascii="Arial" w:hAnsi="Arial" w:cs="Arial"/>
                <w:b/>
                <w:color w:val="000000"/>
                <w:sz w:val="24"/>
                <w:szCs w:val="24"/>
              </w:rPr>
            </w:pPr>
            <w:r w:rsidRPr="004700D9">
              <w:rPr>
                <w:rStyle w:val="Gvdemetni0"/>
                <w:b/>
                <w:sz w:val="24"/>
                <w:szCs w:val="24"/>
              </w:rPr>
              <w:t>İLAÇ GEÇİMSİZLİĞİ 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BD531E" w:rsidP="00B77CA7">
            <w:pPr>
              <w:spacing w:after="0" w:line="240" w:lineRule="auto"/>
              <w:rPr>
                <w:rFonts w:ascii="Arial" w:hAnsi="Arial" w:cs="Arial"/>
                <w:b/>
                <w:bCs/>
                <w:color w:val="000000"/>
                <w:sz w:val="14"/>
                <w:szCs w:val="14"/>
              </w:rPr>
            </w:pPr>
            <w:r>
              <w:rPr>
                <w:rFonts w:ascii="Arial" w:hAnsi="Arial" w:cs="Arial"/>
                <w:b/>
                <w:bCs/>
                <w:color w:val="000000"/>
                <w:sz w:val="14"/>
                <w:szCs w:val="14"/>
              </w:rPr>
              <w:t>İY.TL.10</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BD531E" w:rsidP="00B77CA7">
            <w:pPr>
              <w:spacing w:after="0" w:line="240" w:lineRule="auto"/>
              <w:rPr>
                <w:rFonts w:ascii="Arial" w:hAnsi="Arial" w:cs="Arial"/>
                <w:b/>
                <w:bCs/>
                <w:color w:val="000000"/>
                <w:sz w:val="14"/>
                <w:szCs w:val="14"/>
              </w:rPr>
            </w:pPr>
            <w:r>
              <w:rPr>
                <w:rFonts w:ascii="Arial" w:hAnsi="Arial" w:cs="Arial"/>
                <w:b/>
                <w:bCs/>
                <w:color w:val="000000"/>
                <w:sz w:val="14"/>
                <w:szCs w:val="14"/>
              </w:rPr>
              <w:t>07.08</w:t>
            </w:r>
            <w:r w:rsidR="00E34508">
              <w:rPr>
                <w:rFonts w:ascii="Arial" w:hAnsi="Arial" w:cs="Arial"/>
                <w:b/>
                <w:bCs/>
                <w:color w:val="000000"/>
                <w:sz w:val="14"/>
                <w:szCs w:val="14"/>
              </w:rPr>
              <w:t>.2018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BD531E">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6469F1">
              <w:rPr>
                <w:rFonts w:ascii="Arial" w:hAnsi="Arial" w:cs="Arial"/>
                <w:b/>
                <w:bCs/>
                <w:color w:val="000000"/>
                <w:sz w:val="14"/>
                <w:szCs w:val="14"/>
              </w:rPr>
              <w:t>3</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BD531E" w:rsidRPr="00BD531E" w:rsidRDefault="00BD531E" w:rsidP="00BD531E">
      <w:pPr>
        <w:pStyle w:val="Gvdemetni1"/>
        <w:numPr>
          <w:ilvl w:val="0"/>
          <w:numId w:val="4"/>
        </w:numPr>
        <w:shd w:val="clear" w:color="auto" w:fill="auto"/>
        <w:tabs>
          <w:tab w:val="left" w:pos="436"/>
        </w:tabs>
        <w:spacing w:before="195"/>
        <w:ind w:left="142" w:right="80" w:firstLine="0"/>
        <w:rPr>
          <w:rStyle w:val="Gvdemetni"/>
          <w:shd w:val="clear" w:color="auto" w:fill="auto"/>
        </w:rPr>
      </w:pPr>
      <w:r w:rsidRPr="004700D9">
        <w:rPr>
          <w:rStyle w:val="Gvdemetni"/>
          <w:b/>
          <w:color w:val="000000"/>
        </w:rPr>
        <w:t>AMAÇ:</w:t>
      </w:r>
      <w:r>
        <w:rPr>
          <w:rStyle w:val="Gvdemetni"/>
          <w:color w:val="000000"/>
        </w:rPr>
        <w:t xml:space="preserve"> </w:t>
      </w:r>
    </w:p>
    <w:p w:rsidR="00BD531E" w:rsidRDefault="00BD531E" w:rsidP="00BD531E">
      <w:pPr>
        <w:pStyle w:val="Gvdemetni1"/>
        <w:shd w:val="clear" w:color="auto" w:fill="auto"/>
        <w:tabs>
          <w:tab w:val="left" w:pos="436"/>
        </w:tabs>
        <w:spacing w:before="195"/>
        <w:ind w:left="142" w:right="80" w:firstLine="0"/>
      </w:pPr>
      <w:r>
        <w:rPr>
          <w:rStyle w:val="Gvdemetni"/>
          <w:color w:val="000000"/>
        </w:rPr>
        <w:t xml:space="preserve">Hastanemizde tedavi gören hastalara uygulanan </w:t>
      </w:r>
      <w:r>
        <w:rPr>
          <w:rStyle w:val="Gvdemetni"/>
          <w:color w:val="000000"/>
          <w:lang w:val="en-US"/>
        </w:rPr>
        <w:t xml:space="preserve">parenteral </w:t>
      </w:r>
      <w:r>
        <w:rPr>
          <w:rStyle w:val="Gvdemetni"/>
          <w:color w:val="000000"/>
        </w:rPr>
        <w:t>ilaçların ilaç geçimsizliği nedeni ile zayi olmaması, hastaya güvenli bir şekilde uygulanması, uyarı ve önlemlere rağmen istenmeyen bir geçimsizlik meydana gelmesi halinde izlenecek yolun belirlenmesidir.</w:t>
      </w:r>
    </w:p>
    <w:p w:rsidR="00BD531E" w:rsidRPr="00BD531E" w:rsidRDefault="00BD531E" w:rsidP="00BD531E">
      <w:pPr>
        <w:pStyle w:val="Gvdemetni1"/>
        <w:numPr>
          <w:ilvl w:val="0"/>
          <w:numId w:val="4"/>
        </w:numPr>
        <w:shd w:val="clear" w:color="auto" w:fill="auto"/>
        <w:tabs>
          <w:tab w:val="left" w:pos="373"/>
        </w:tabs>
        <w:spacing w:before="0" w:after="223"/>
        <w:ind w:left="142" w:right="80" w:firstLine="0"/>
        <w:rPr>
          <w:rStyle w:val="Gvdemetni"/>
          <w:shd w:val="clear" w:color="auto" w:fill="auto"/>
        </w:rPr>
      </w:pPr>
      <w:r w:rsidRPr="004700D9">
        <w:rPr>
          <w:rStyle w:val="Gvdemetni"/>
          <w:b/>
          <w:color w:val="000000"/>
        </w:rPr>
        <w:t>KAPSAM:</w:t>
      </w:r>
      <w:r>
        <w:rPr>
          <w:rStyle w:val="Gvdemetni"/>
          <w:color w:val="000000"/>
        </w:rPr>
        <w:t xml:space="preserve"> </w:t>
      </w:r>
    </w:p>
    <w:p w:rsidR="00BD531E" w:rsidRDefault="00BD531E" w:rsidP="00BD531E">
      <w:pPr>
        <w:pStyle w:val="Gvdemetni1"/>
        <w:shd w:val="clear" w:color="auto" w:fill="auto"/>
        <w:tabs>
          <w:tab w:val="left" w:pos="373"/>
        </w:tabs>
        <w:spacing w:before="0" w:after="223"/>
        <w:ind w:left="142" w:right="80" w:firstLine="0"/>
      </w:pPr>
      <w:r>
        <w:rPr>
          <w:rStyle w:val="Gvdemetni"/>
          <w:color w:val="000000"/>
        </w:rPr>
        <w:t>Bu talimat Türkiye Kamu Hastaneleri Kurumu Kamu Hastaneler Birliğine bağlı tüm sağlık tesislerinde (hastane, kadın doğum ve çocuk hastaneleri, ruh ve sinir hastalıkları hastaneleri, ADSM / ADSH’larda ) özellikli birimlerde ( acil, ameliyathane, yoğun bakım, doğumhane vb ), servis ve eczanede bulunan geçimsizlik görülebilecek ilaçların yönetimini kapsar.</w:t>
      </w:r>
    </w:p>
    <w:p w:rsidR="00BD531E" w:rsidRPr="00BD531E" w:rsidRDefault="00BD531E" w:rsidP="00BD531E">
      <w:pPr>
        <w:pStyle w:val="Balk20"/>
        <w:keepNext/>
        <w:keepLines/>
        <w:numPr>
          <w:ilvl w:val="0"/>
          <w:numId w:val="4"/>
        </w:numPr>
        <w:shd w:val="clear" w:color="auto" w:fill="auto"/>
        <w:tabs>
          <w:tab w:val="left" w:pos="321"/>
        </w:tabs>
        <w:spacing w:before="0"/>
        <w:ind w:left="142"/>
        <w:rPr>
          <w:rStyle w:val="Balk2"/>
          <w:b/>
          <w:shd w:val="clear" w:color="auto" w:fill="auto"/>
        </w:rPr>
      </w:pPr>
      <w:bookmarkStart w:id="0" w:name="bookmark0"/>
      <w:r w:rsidRPr="004700D9">
        <w:rPr>
          <w:rStyle w:val="Balk2"/>
          <w:b/>
          <w:color w:val="000000"/>
        </w:rPr>
        <w:t>SORUMLULAR:</w:t>
      </w:r>
      <w:bookmarkEnd w:id="0"/>
    </w:p>
    <w:p w:rsidR="00BD531E" w:rsidRPr="004700D9" w:rsidRDefault="00BD531E" w:rsidP="00BD531E">
      <w:pPr>
        <w:pStyle w:val="Balk20"/>
        <w:keepNext/>
        <w:keepLines/>
        <w:shd w:val="clear" w:color="auto" w:fill="auto"/>
        <w:tabs>
          <w:tab w:val="left" w:pos="321"/>
        </w:tabs>
        <w:spacing w:before="0"/>
        <w:ind w:left="142"/>
        <w:rPr>
          <w:b/>
        </w:rPr>
      </w:pPr>
    </w:p>
    <w:p w:rsidR="00BD531E" w:rsidRDefault="00BD531E" w:rsidP="00BD531E">
      <w:pPr>
        <w:pStyle w:val="Gvdemetni1"/>
        <w:numPr>
          <w:ilvl w:val="0"/>
          <w:numId w:val="5"/>
        </w:numPr>
        <w:shd w:val="clear" w:color="auto" w:fill="auto"/>
        <w:tabs>
          <w:tab w:val="left" w:pos="780"/>
        </w:tabs>
        <w:spacing w:before="0" w:after="0" w:line="293" w:lineRule="exact"/>
        <w:ind w:left="142" w:hanging="360"/>
      </w:pPr>
      <w:r>
        <w:rPr>
          <w:rStyle w:val="Gvdemetni"/>
          <w:color w:val="000000"/>
        </w:rPr>
        <w:t>Hastane Yönetimi</w:t>
      </w:r>
    </w:p>
    <w:p w:rsidR="00BD531E" w:rsidRDefault="00BD531E" w:rsidP="00BD531E">
      <w:pPr>
        <w:pStyle w:val="Gvdemetni1"/>
        <w:numPr>
          <w:ilvl w:val="0"/>
          <w:numId w:val="5"/>
        </w:numPr>
        <w:shd w:val="clear" w:color="auto" w:fill="auto"/>
        <w:tabs>
          <w:tab w:val="left" w:pos="786"/>
        </w:tabs>
        <w:spacing w:before="0" w:after="0" w:line="293" w:lineRule="exact"/>
        <w:ind w:left="142" w:hanging="360"/>
      </w:pPr>
      <w:r>
        <w:rPr>
          <w:rStyle w:val="Gvdemetni"/>
          <w:color w:val="000000"/>
        </w:rPr>
        <w:t>Eczacı ve eczane personeli</w:t>
      </w:r>
    </w:p>
    <w:p w:rsidR="00BD531E" w:rsidRDefault="00BD531E" w:rsidP="00BD531E">
      <w:pPr>
        <w:pStyle w:val="Gvdemetni1"/>
        <w:numPr>
          <w:ilvl w:val="0"/>
          <w:numId w:val="5"/>
        </w:numPr>
        <w:shd w:val="clear" w:color="auto" w:fill="auto"/>
        <w:tabs>
          <w:tab w:val="left" w:pos="796"/>
        </w:tabs>
        <w:spacing w:before="0" w:after="64" w:line="230" w:lineRule="exact"/>
        <w:ind w:left="142" w:hanging="360"/>
      </w:pPr>
      <w:r>
        <w:rPr>
          <w:rStyle w:val="Gvdemetni"/>
          <w:color w:val="000000"/>
        </w:rPr>
        <w:t>Servis sorumlusu ve çalışanları</w:t>
      </w:r>
    </w:p>
    <w:p w:rsidR="00BD531E" w:rsidRDefault="00BD531E" w:rsidP="00BD531E">
      <w:pPr>
        <w:pStyle w:val="Gvdemetni1"/>
        <w:numPr>
          <w:ilvl w:val="0"/>
          <w:numId w:val="5"/>
        </w:numPr>
        <w:shd w:val="clear" w:color="auto" w:fill="auto"/>
        <w:tabs>
          <w:tab w:val="left" w:pos="791"/>
        </w:tabs>
        <w:spacing w:before="0" w:after="0" w:line="267" w:lineRule="exact"/>
        <w:ind w:left="142" w:right="80" w:hanging="360"/>
      </w:pPr>
      <w:r>
        <w:rPr>
          <w:rStyle w:val="Gvdemetni"/>
          <w:color w:val="000000"/>
        </w:rPr>
        <w:t>Özellikli birim sorumlusu (yoğun bakım sorumlusu, ameliyathane sorumlusu vb) ve çalışanları</w:t>
      </w:r>
    </w:p>
    <w:p w:rsidR="00BD531E" w:rsidRDefault="00BD531E" w:rsidP="00BD531E">
      <w:pPr>
        <w:pStyle w:val="Gvdemetni1"/>
        <w:numPr>
          <w:ilvl w:val="0"/>
          <w:numId w:val="5"/>
        </w:numPr>
        <w:shd w:val="clear" w:color="auto" w:fill="auto"/>
        <w:tabs>
          <w:tab w:val="left" w:pos="780"/>
        </w:tabs>
        <w:spacing w:before="0" w:after="58" w:line="230" w:lineRule="exact"/>
        <w:ind w:left="142" w:hanging="360"/>
      </w:pPr>
      <w:r>
        <w:rPr>
          <w:rStyle w:val="Gvdemetni"/>
          <w:color w:val="000000"/>
        </w:rPr>
        <w:t>Hekim ve tüm yardımcı sağlık personelleri (hemşire, ebe vb.)</w:t>
      </w:r>
    </w:p>
    <w:p w:rsidR="00BD531E" w:rsidRPr="00BD531E" w:rsidRDefault="00BD531E" w:rsidP="00BD531E">
      <w:pPr>
        <w:pStyle w:val="Balk20"/>
        <w:keepNext/>
        <w:keepLines/>
        <w:shd w:val="clear" w:color="auto" w:fill="auto"/>
        <w:tabs>
          <w:tab w:val="left" w:pos="321"/>
        </w:tabs>
        <w:spacing w:before="0" w:after="99" w:line="230" w:lineRule="exact"/>
        <w:ind w:left="142"/>
        <w:rPr>
          <w:rStyle w:val="Balk2"/>
          <w:b/>
          <w:shd w:val="clear" w:color="auto" w:fill="auto"/>
        </w:rPr>
      </w:pPr>
      <w:bookmarkStart w:id="1" w:name="bookmark1"/>
    </w:p>
    <w:p w:rsidR="00BD531E" w:rsidRPr="00BD531E" w:rsidRDefault="00BD531E" w:rsidP="00BD531E">
      <w:pPr>
        <w:pStyle w:val="Balk20"/>
        <w:keepNext/>
        <w:keepLines/>
        <w:numPr>
          <w:ilvl w:val="0"/>
          <w:numId w:val="4"/>
        </w:numPr>
        <w:shd w:val="clear" w:color="auto" w:fill="auto"/>
        <w:tabs>
          <w:tab w:val="left" w:pos="321"/>
        </w:tabs>
        <w:spacing w:before="0" w:after="99" w:line="230" w:lineRule="exact"/>
        <w:ind w:left="142"/>
        <w:rPr>
          <w:rStyle w:val="Balk2"/>
          <w:b/>
          <w:shd w:val="clear" w:color="auto" w:fill="auto"/>
        </w:rPr>
      </w:pPr>
      <w:r w:rsidRPr="004700D9">
        <w:rPr>
          <w:rStyle w:val="Balk2"/>
          <w:b/>
          <w:color w:val="000000"/>
        </w:rPr>
        <w:t>TANIMLAR:</w:t>
      </w:r>
      <w:bookmarkEnd w:id="1"/>
    </w:p>
    <w:p w:rsidR="00BD531E" w:rsidRPr="004700D9" w:rsidRDefault="00BD531E" w:rsidP="00BD531E">
      <w:pPr>
        <w:pStyle w:val="Balk20"/>
        <w:keepNext/>
        <w:keepLines/>
        <w:shd w:val="clear" w:color="auto" w:fill="auto"/>
        <w:tabs>
          <w:tab w:val="left" w:pos="321"/>
        </w:tabs>
        <w:spacing w:before="0" w:after="99" w:line="230" w:lineRule="exact"/>
        <w:ind w:left="142"/>
        <w:rPr>
          <w:b/>
        </w:rPr>
      </w:pPr>
    </w:p>
    <w:p w:rsidR="00BD531E" w:rsidRDefault="00BD531E" w:rsidP="00BD531E">
      <w:pPr>
        <w:pStyle w:val="Gvdemetni1"/>
        <w:shd w:val="clear" w:color="auto" w:fill="auto"/>
        <w:spacing w:before="0" w:after="56" w:line="230" w:lineRule="exact"/>
        <w:ind w:left="142" w:firstLine="0"/>
      </w:pPr>
      <w:r w:rsidRPr="004700D9">
        <w:rPr>
          <w:rStyle w:val="Gvdemetni"/>
          <w:b/>
          <w:color w:val="000000"/>
        </w:rPr>
        <w:t>4.1</w:t>
      </w:r>
      <w:r>
        <w:rPr>
          <w:rStyle w:val="Gvdemetni"/>
          <w:color w:val="000000"/>
        </w:rPr>
        <w:t xml:space="preserve"> </w:t>
      </w:r>
      <w:r w:rsidRPr="004700D9">
        <w:rPr>
          <w:rStyle w:val="Gvdemetni"/>
          <w:b/>
          <w:color w:val="000000"/>
        </w:rPr>
        <w:t>İlaç Geçimsizliği:</w:t>
      </w:r>
    </w:p>
    <w:p w:rsidR="00BD531E" w:rsidRDefault="00BD531E" w:rsidP="00BD531E">
      <w:pPr>
        <w:pStyle w:val="Gvdemetni1"/>
        <w:shd w:val="clear" w:color="auto" w:fill="auto"/>
        <w:spacing w:before="0" w:after="11" w:line="278" w:lineRule="exact"/>
        <w:ind w:left="142" w:right="80" w:firstLine="0"/>
      </w:pPr>
      <w:r>
        <w:rPr>
          <w:rStyle w:val="Gvdemetni"/>
          <w:color w:val="000000"/>
        </w:rPr>
        <w:t>İlaçların vücuda girmeden önce karıştırılmaları durumunda ortaya çıkan fiziksel veya kimyasal reaksiyonlardır.</w:t>
      </w:r>
    </w:p>
    <w:p w:rsidR="00BD531E" w:rsidRDefault="00BD531E" w:rsidP="00BD531E">
      <w:pPr>
        <w:pStyle w:val="Gvdemetni1"/>
        <w:shd w:val="clear" w:color="auto" w:fill="auto"/>
        <w:spacing w:before="0" w:after="0" w:line="414" w:lineRule="exact"/>
        <w:ind w:left="142" w:firstLine="0"/>
      </w:pPr>
      <w:r>
        <w:rPr>
          <w:rStyle w:val="Gvdemetni"/>
          <w:color w:val="000000"/>
        </w:rPr>
        <w:t>Fiziksel reaksiyonlar;</w:t>
      </w:r>
    </w:p>
    <w:p w:rsidR="00BD531E" w:rsidRDefault="00BD531E" w:rsidP="00BD531E">
      <w:pPr>
        <w:pStyle w:val="Gvdemetni1"/>
        <w:numPr>
          <w:ilvl w:val="0"/>
          <w:numId w:val="5"/>
        </w:numPr>
        <w:shd w:val="clear" w:color="auto" w:fill="auto"/>
        <w:tabs>
          <w:tab w:val="left" w:pos="786"/>
        </w:tabs>
        <w:spacing w:before="0" w:after="0" w:line="414" w:lineRule="exact"/>
        <w:ind w:left="142" w:hanging="360"/>
      </w:pPr>
      <w:r>
        <w:rPr>
          <w:rStyle w:val="Gvdemetni"/>
          <w:color w:val="000000"/>
        </w:rPr>
        <w:t>Erime ve karışma güçlüğü,</w:t>
      </w:r>
    </w:p>
    <w:p w:rsidR="00BD531E" w:rsidRDefault="00BD531E" w:rsidP="00BD531E">
      <w:pPr>
        <w:pStyle w:val="Gvdemetni1"/>
        <w:numPr>
          <w:ilvl w:val="0"/>
          <w:numId w:val="5"/>
        </w:numPr>
        <w:shd w:val="clear" w:color="auto" w:fill="auto"/>
        <w:tabs>
          <w:tab w:val="left" w:pos="796"/>
        </w:tabs>
        <w:spacing w:before="0" w:after="0" w:line="414" w:lineRule="exact"/>
        <w:ind w:left="142" w:hanging="360"/>
      </w:pPr>
      <w:r>
        <w:rPr>
          <w:rStyle w:val="Gvdemetni"/>
          <w:color w:val="000000"/>
        </w:rPr>
        <w:t>Sertleşme,</w:t>
      </w:r>
    </w:p>
    <w:p w:rsidR="00BD531E" w:rsidRDefault="00BD531E" w:rsidP="00BD531E">
      <w:pPr>
        <w:pStyle w:val="Gvdemetni1"/>
        <w:numPr>
          <w:ilvl w:val="0"/>
          <w:numId w:val="5"/>
        </w:numPr>
        <w:shd w:val="clear" w:color="auto" w:fill="auto"/>
        <w:tabs>
          <w:tab w:val="left" w:pos="796"/>
        </w:tabs>
        <w:spacing w:before="0" w:after="0" w:line="414" w:lineRule="exact"/>
        <w:ind w:left="142" w:hanging="360"/>
      </w:pPr>
      <w:r>
        <w:rPr>
          <w:rStyle w:val="Gvdemetni"/>
          <w:color w:val="000000"/>
        </w:rPr>
        <w:t>Sıvılaşma,</w:t>
      </w:r>
    </w:p>
    <w:p w:rsidR="00BD531E" w:rsidRDefault="00BD531E" w:rsidP="00BD531E">
      <w:pPr>
        <w:pStyle w:val="Gvdemetni1"/>
        <w:numPr>
          <w:ilvl w:val="0"/>
          <w:numId w:val="5"/>
        </w:numPr>
        <w:shd w:val="clear" w:color="auto" w:fill="auto"/>
        <w:tabs>
          <w:tab w:val="left" w:pos="791"/>
        </w:tabs>
        <w:spacing w:before="0" w:after="0" w:line="414" w:lineRule="exact"/>
        <w:ind w:left="142" w:hanging="360"/>
      </w:pPr>
      <w:r>
        <w:rPr>
          <w:rStyle w:val="Gvdemetni"/>
          <w:color w:val="000000"/>
        </w:rPr>
        <w:t>Çökelti oluşumu vb.</w:t>
      </w:r>
    </w:p>
    <w:p w:rsidR="00BD531E" w:rsidRDefault="00BD531E" w:rsidP="00BD531E">
      <w:pPr>
        <w:pStyle w:val="Gvdemetni1"/>
        <w:shd w:val="clear" w:color="auto" w:fill="auto"/>
        <w:spacing w:before="0" w:after="0" w:line="414" w:lineRule="exact"/>
        <w:ind w:left="142" w:firstLine="0"/>
      </w:pPr>
      <w:r>
        <w:rPr>
          <w:rStyle w:val="Gvdemetni"/>
          <w:color w:val="000000"/>
        </w:rPr>
        <w:t>Kimyasal reaksiyonlar;</w:t>
      </w:r>
    </w:p>
    <w:p w:rsidR="00BD531E" w:rsidRDefault="00BD531E" w:rsidP="00BD531E">
      <w:pPr>
        <w:pStyle w:val="Gvdemetni1"/>
        <w:numPr>
          <w:ilvl w:val="0"/>
          <w:numId w:val="5"/>
        </w:numPr>
        <w:shd w:val="clear" w:color="auto" w:fill="auto"/>
        <w:tabs>
          <w:tab w:val="left" w:pos="786"/>
        </w:tabs>
        <w:spacing w:before="0" w:after="0" w:line="414" w:lineRule="exact"/>
        <w:ind w:left="142" w:hanging="360"/>
      </w:pPr>
      <w:r>
        <w:rPr>
          <w:rStyle w:val="Gvdemetni"/>
          <w:color w:val="000000"/>
        </w:rPr>
        <w:t>Renk değişimi,</w:t>
      </w:r>
    </w:p>
    <w:p w:rsidR="00BD531E" w:rsidRPr="00BD531E" w:rsidRDefault="00BD531E" w:rsidP="00BD531E">
      <w:pPr>
        <w:pStyle w:val="Gvdemetni1"/>
        <w:numPr>
          <w:ilvl w:val="0"/>
          <w:numId w:val="5"/>
        </w:numPr>
        <w:shd w:val="clear" w:color="auto" w:fill="auto"/>
        <w:tabs>
          <w:tab w:val="left" w:pos="786"/>
        </w:tabs>
        <w:spacing w:before="0" w:after="0" w:line="414" w:lineRule="exact"/>
        <w:ind w:left="142" w:hanging="360"/>
        <w:rPr>
          <w:rStyle w:val="Gvdemetni"/>
          <w:shd w:val="clear" w:color="auto" w:fill="auto"/>
        </w:rPr>
      </w:pPr>
      <w:r>
        <w:rPr>
          <w:rStyle w:val="Gvdemetni"/>
          <w:color w:val="000000"/>
        </w:rPr>
        <w:t>Gaz çıkışı</w:t>
      </w:r>
    </w:p>
    <w:p w:rsidR="00BD531E" w:rsidRDefault="00BD531E" w:rsidP="00BD531E">
      <w:pPr>
        <w:pStyle w:val="Gvdemetni1"/>
        <w:shd w:val="clear" w:color="auto" w:fill="auto"/>
        <w:tabs>
          <w:tab w:val="left" w:pos="786"/>
        </w:tabs>
        <w:spacing w:before="0" w:after="0" w:line="414" w:lineRule="exact"/>
        <w:ind w:left="142" w:firstLine="0"/>
        <w:rPr>
          <w:rStyle w:val="Gvdemetni"/>
          <w:color w:val="000000"/>
        </w:rPr>
      </w:pPr>
    </w:p>
    <w:p w:rsidR="00BD531E" w:rsidRDefault="00BD531E" w:rsidP="00BD531E">
      <w:pPr>
        <w:pStyle w:val="Gvdemetni1"/>
        <w:shd w:val="clear" w:color="auto" w:fill="auto"/>
        <w:tabs>
          <w:tab w:val="left" w:pos="786"/>
        </w:tabs>
        <w:spacing w:before="0" w:after="0" w:line="414" w:lineRule="exact"/>
        <w:ind w:left="142" w:firstLine="0"/>
      </w:pPr>
    </w:p>
    <w:p w:rsidR="00BD531E" w:rsidRPr="004700D9" w:rsidRDefault="00BD531E" w:rsidP="00BD531E">
      <w:pPr>
        <w:pStyle w:val="Gvdemetni1"/>
        <w:keepNext/>
        <w:keepLines/>
        <w:numPr>
          <w:ilvl w:val="0"/>
          <w:numId w:val="6"/>
        </w:numPr>
        <w:shd w:val="clear" w:color="auto" w:fill="auto"/>
        <w:tabs>
          <w:tab w:val="left" w:pos="504"/>
          <w:tab w:val="left" w:pos="786"/>
        </w:tabs>
        <w:spacing w:before="0" w:after="34" w:line="230" w:lineRule="exact"/>
        <w:ind w:left="142"/>
        <w:rPr>
          <w:b/>
        </w:rPr>
      </w:pPr>
      <w:r w:rsidRPr="004700D9">
        <w:rPr>
          <w:rStyle w:val="Gvdemetni"/>
          <w:b/>
          <w:color w:val="000000"/>
        </w:rPr>
        <w:lastRenderedPageBreak/>
        <w:t>Bulanıklık vb.</w:t>
      </w:r>
      <w:bookmarkStart w:id="2" w:name="bookmark2"/>
      <w:r w:rsidRPr="004700D9">
        <w:rPr>
          <w:rStyle w:val="Balk2"/>
          <w:b/>
          <w:color w:val="000000"/>
        </w:rPr>
        <w:t>Geçimsizlikler:</w:t>
      </w:r>
      <w:bookmarkEnd w:id="2"/>
    </w:p>
    <w:p w:rsidR="00BD531E" w:rsidRDefault="00BD531E" w:rsidP="00BD531E">
      <w:pPr>
        <w:pStyle w:val="Gvdemetni1"/>
        <w:numPr>
          <w:ilvl w:val="0"/>
          <w:numId w:val="7"/>
        </w:numPr>
        <w:shd w:val="clear" w:color="auto" w:fill="auto"/>
        <w:tabs>
          <w:tab w:val="left" w:pos="775"/>
        </w:tabs>
        <w:spacing w:before="0" w:after="0"/>
        <w:ind w:left="142" w:right="80" w:hanging="360"/>
      </w:pPr>
      <w:r>
        <w:rPr>
          <w:rStyle w:val="Gvdemetni"/>
          <w:color w:val="000000"/>
        </w:rPr>
        <w:t xml:space="preserve">Günümüzde intravenöz sıvı tedavisi rutin hale gelmiş bir tedavi yöntemidir. Hastaya birden fazla enjeksiyon yapmamak için </w:t>
      </w:r>
      <w:r>
        <w:rPr>
          <w:rStyle w:val="Gvdemetni"/>
          <w:color w:val="000000"/>
          <w:lang w:val="en-US"/>
        </w:rPr>
        <w:t xml:space="preserve">parenteral </w:t>
      </w:r>
      <w:r>
        <w:rPr>
          <w:rStyle w:val="Gvdemetni"/>
          <w:color w:val="000000"/>
        </w:rPr>
        <w:t>çözeltiler birbiri ile karıştırılmaktadır.</w:t>
      </w:r>
    </w:p>
    <w:p w:rsidR="00BD531E" w:rsidRDefault="00BD531E" w:rsidP="00BD531E">
      <w:pPr>
        <w:ind w:left="142"/>
        <w:rPr>
          <w:sz w:val="2"/>
          <w:szCs w:val="2"/>
        </w:rPr>
      </w:pPr>
    </w:p>
    <w:p w:rsidR="00BD531E" w:rsidRDefault="00BD531E" w:rsidP="00BD531E">
      <w:pPr>
        <w:pStyle w:val="Gvdemetni1"/>
        <w:numPr>
          <w:ilvl w:val="0"/>
          <w:numId w:val="7"/>
        </w:numPr>
        <w:shd w:val="clear" w:color="auto" w:fill="auto"/>
        <w:tabs>
          <w:tab w:val="left" w:pos="775"/>
        </w:tabs>
        <w:spacing w:before="174" w:after="123" w:line="230" w:lineRule="exact"/>
        <w:ind w:left="142"/>
      </w:pPr>
      <w:r>
        <w:rPr>
          <w:rStyle w:val="Gvdemetni"/>
          <w:color w:val="000000"/>
        </w:rPr>
        <w:t>Karıştırma işi;</w:t>
      </w:r>
    </w:p>
    <w:p w:rsidR="00BD531E" w:rsidRDefault="00BD531E" w:rsidP="00BD531E">
      <w:pPr>
        <w:pStyle w:val="Gvdemetni1"/>
        <w:numPr>
          <w:ilvl w:val="0"/>
          <w:numId w:val="5"/>
        </w:numPr>
        <w:shd w:val="clear" w:color="auto" w:fill="auto"/>
        <w:tabs>
          <w:tab w:val="left" w:pos="1505"/>
        </w:tabs>
        <w:spacing w:before="0" w:after="85" w:line="230" w:lineRule="exact"/>
        <w:ind w:left="142" w:hanging="340"/>
        <w:jc w:val="left"/>
      </w:pPr>
      <w:r>
        <w:rPr>
          <w:rStyle w:val="Gvdemetni"/>
          <w:color w:val="000000"/>
        </w:rPr>
        <w:t>Aynı enjektöre iki veya daha fazla ilaç çekilerek,</w:t>
      </w:r>
    </w:p>
    <w:p w:rsidR="00BD531E" w:rsidRDefault="00BD531E" w:rsidP="00BD531E">
      <w:pPr>
        <w:pStyle w:val="Gvdemetni1"/>
        <w:numPr>
          <w:ilvl w:val="0"/>
          <w:numId w:val="5"/>
        </w:numPr>
        <w:shd w:val="clear" w:color="auto" w:fill="auto"/>
        <w:tabs>
          <w:tab w:val="left" w:pos="1515"/>
        </w:tabs>
        <w:spacing w:before="0" w:after="98" w:line="278" w:lineRule="exact"/>
        <w:ind w:left="142" w:right="80" w:hanging="340"/>
        <w:jc w:val="left"/>
      </w:pPr>
      <w:r>
        <w:rPr>
          <w:rStyle w:val="Gvdemetni"/>
          <w:color w:val="000000"/>
        </w:rPr>
        <w:t>Çok dozlu IV infüzyon ile sıvı tedavilerinde çözeltinin içine birden fazla ilacın karıştırılması,</w:t>
      </w:r>
    </w:p>
    <w:p w:rsidR="00BD531E" w:rsidRDefault="00BD531E" w:rsidP="00BD531E">
      <w:pPr>
        <w:pStyle w:val="Gvdemetni1"/>
        <w:numPr>
          <w:ilvl w:val="0"/>
          <w:numId w:val="5"/>
        </w:numPr>
        <w:shd w:val="clear" w:color="auto" w:fill="auto"/>
        <w:tabs>
          <w:tab w:val="left" w:pos="1510"/>
        </w:tabs>
        <w:spacing w:before="0" w:after="118" w:line="230" w:lineRule="exact"/>
        <w:ind w:left="142" w:hanging="340"/>
        <w:jc w:val="left"/>
      </w:pPr>
      <w:r>
        <w:rPr>
          <w:rStyle w:val="Gvdemetni"/>
          <w:color w:val="000000"/>
        </w:rPr>
        <w:t>Birden fazla ilacın setler vasıtası ile hastaya verilmesi şeklinde olmaktadır.</w:t>
      </w:r>
    </w:p>
    <w:p w:rsidR="00BD531E" w:rsidRDefault="00BD531E" w:rsidP="00BD531E">
      <w:pPr>
        <w:pStyle w:val="Gvdemetni1"/>
        <w:shd w:val="clear" w:color="auto" w:fill="auto"/>
        <w:spacing w:before="0" w:after="111" w:line="230" w:lineRule="exact"/>
        <w:ind w:left="142" w:firstLine="0"/>
        <w:jc w:val="left"/>
      </w:pPr>
      <w:r>
        <w:rPr>
          <w:rStyle w:val="Gvdemetni"/>
          <w:color w:val="000000"/>
        </w:rPr>
        <w:t>Bu uygulama yöntemi ilaç geçimsizliği tehlikesi oluşturabilmektedir.</w:t>
      </w:r>
    </w:p>
    <w:p w:rsidR="00BD531E" w:rsidRDefault="00BD531E" w:rsidP="00BD531E">
      <w:pPr>
        <w:pStyle w:val="Gvdemetni1"/>
        <w:numPr>
          <w:ilvl w:val="0"/>
          <w:numId w:val="7"/>
        </w:numPr>
        <w:shd w:val="clear" w:color="auto" w:fill="auto"/>
        <w:tabs>
          <w:tab w:val="left" w:pos="775"/>
        </w:tabs>
        <w:spacing w:before="0" w:after="60" w:line="278" w:lineRule="exact"/>
        <w:ind w:left="142" w:right="80"/>
      </w:pPr>
      <w:r>
        <w:rPr>
          <w:rStyle w:val="Gvdemetni"/>
          <w:color w:val="000000"/>
        </w:rPr>
        <w:t>Bazen ilaç kabı veya plastiklerin çeperi ile etkileşmeler olduğu saptanmıştır. İlaçlar çözeltiler halinde karıştırıldıklarında geçimsizlik gösterebilmektedirler. Aynı enjektöre çekilen ilaçlarda geçimsizlik söz konusu olabilmektedir.</w:t>
      </w:r>
    </w:p>
    <w:p w:rsidR="00BD531E" w:rsidRDefault="00BD531E" w:rsidP="00BD531E">
      <w:pPr>
        <w:pStyle w:val="Gvdemetni1"/>
        <w:numPr>
          <w:ilvl w:val="0"/>
          <w:numId w:val="7"/>
        </w:numPr>
        <w:shd w:val="clear" w:color="auto" w:fill="auto"/>
        <w:tabs>
          <w:tab w:val="left" w:pos="775"/>
        </w:tabs>
        <w:spacing w:before="0" w:after="0" w:line="278" w:lineRule="exact"/>
        <w:ind w:left="142" w:right="80"/>
      </w:pPr>
      <w:r>
        <w:rPr>
          <w:rStyle w:val="Gvdemetni"/>
          <w:color w:val="000000"/>
          <w:lang w:val="de-DE" w:eastAsia="de-DE"/>
        </w:rPr>
        <w:t xml:space="preserve">Parenteral </w:t>
      </w:r>
      <w:r>
        <w:rPr>
          <w:rStyle w:val="Gvdemetni"/>
          <w:color w:val="000000"/>
        </w:rPr>
        <w:t>solüsyonlarda yardımcı maddeler de solüsyonlar ile geçimsizlik gösterebilir.</w:t>
      </w:r>
    </w:p>
    <w:p w:rsidR="00BD531E" w:rsidRDefault="00BD531E" w:rsidP="00BD531E">
      <w:pPr>
        <w:pStyle w:val="Gvdemetni1"/>
        <w:numPr>
          <w:ilvl w:val="0"/>
          <w:numId w:val="7"/>
        </w:numPr>
        <w:shd w:val="clear" w:color="auto" w:fill="auto"/>
        <w:tabs>
          <w:tab w:val="left" w:pos="780"/>
        </w:tabs>
        <w:spacing w:before="0" w:after="0" w:line="408" w:lineRule="exact"/>
        <w:ind w:left="142"/>
      </w:pPr>
      <w:r>
        <w:rPr>
          <w:rStyle w:val="Gvdemetni"/>
          <w:color w:val="000000"/>
        </w:rPr>
        <w:t>Çözeltinin Ph değişimi durumunda;</w:t>
      </w:r>
    </w:p>
    <w:p w:rsidR="00BD531E" w:rsidRDefault="00BD531E" w:rsidP="00BD531E">
      <w:pPr>
        <w:pStyle w:val="Gvdemetni1"/>
        <w:numPr>
          <w:ilvl w:val="0"/>
          <w:numId w:val="5"/>
        </w:numPr>
        <w:shd w:val="clear" w:color="auto" w:fill="auto"/>
        <w:tabs>
          <w:tab w:val="left" w:pos="1510"/>
        </w:tabs>
        <w:spacing w:before="0" w:after="0" w:line="408" w:lineRule="exact"/>
        <w:ind w:left="142" w:hanging="340"/>
        <w:jc w:val="left"/>
      </w:pPr>
      <w:r>
        <w:rPr>
          <w:rStyle w:val="Gvdemetni"/>
          <w:color w:val="000000"/>
        </w:rPr>
        <w:t>Bir veya birkaç madde açığa çıkabilir,</w:t>
      </w:r>
    </w:p>
    <w:p w:rsidR="00BD531E" w:rsidRDefault="00BD531E" w:rsidP="00BD531E">
      <w:pPr>
        <w:pStyle w:val="Gvdemetni1"/>
        <w:numPr>
          <w:ilvl w:val="0"/>
          <w:numId w:val="5"/>
        </w:numPr>
        <w:shd w:val="clear" w:color="auto" w:fill="auto"/>
        <w:tabs>
          <w:tab w:val="left" w:pos="1510"/>
        </w:tabs>
        <w:spacing w:before="0" w:after="0" w:line="408" w:lineRule="exact"/>
        <w:ind w:left="142" w:hanging="340"/>
        <w:jc w:val="left"/>
      </w:pPr>
      <w:r>
        <w:rPr>
          <w:rStyle w:val="Gvdemetni"/>
          <w:color w:val="000000"/>
        </w:rPr>
        <w:t>Bir veya birkaç madde parçalanabilir. (kimyasal değişme)</w:t>
      </w:r>
    </w:p>
    <w:p w:rsidR="00BD531E" w:rsidRDefault="00BD531E" w:rsidP="00BD531E">
      <w:pPr>
        <w:pStyle w:val="Gvdemetni1"/>
        <w:numPr>
          <w:ilvl w:val="0"/>
          <w:numId w:val="5"/>
        </w:numPr>
        <w:shd w:val="clear" w:color="auto" w:fill="auto"/>
        <w:tabs>
          <w:tab w:val="left" w:pos="1515"/>
        </w:tabs>
        <w:spacing w:before="0" w:after="0" w:line="408" w:lineRule="exact"/>
        <w:ind w:left="142" w:hanging="340"/>
        <w:jc w:val="left"/>
      </w:pPr>
      <w:r>
        <w:rPr>
          <w:rStyle w:val="Gvdemetni"/>
          <w:color w:val="000000"/>
        </w:rPr>
        <w:t>Çözeltinin rengi değişebilir. (Solar ya da renklendirir)</w:t>
      </w:r>
    </w:p>
    <w:p w:rsidR="00BD531E" w:rsidRDefault="00BD531E" w:rsidP="00BD531E">
      <w:pPr>
        <w:pStyle w:val="Gvdemetni1"/>
        <w:numPr>
          <w:ilvl w:val="0"/>
          <w:numId w:val="5"/>
        </w:numPr>
        <w:shd w:val="clear" w:color="auto" w:fill="auto"/>
        <w:tabs>
          <w:tab w:val="left" w:pos="1510"/>
        </w:tabs>
        <w:spacing w:before="0" w:after="0" w:line="408" w:lineRule="exact"/>
        <w:ind w:left="142" w:hanging="340"/>
        <w:jc w:val="left"/>
      </w:pPr>
      <w:r>
        <w:rPr>
          <w:rStyle w:val="Gvdemetni"/>
          <w:color w:val="000000"/>
        </w:rPr>
        <w:t>Bulanıklık ya da çökme olabilir.</w:t>
      </w:r>
    </w:p>
    <w:p w:rsidR="00BD531E" w:rsidRPr="00BD531E" w:rsidRDefault="00BD531E" w:rsidP="00BD531E">
      <w:pPr>
        <w:pStyle w:val="Gvdemetni1"/>
        <w:numPr>
          <w:ilvl w:val="0"/>
          <w:numId w:val="5"/>
        </w:numPr>
        <w:shd w:val="clear" w:color="auto" w:fill="auto"/>
        <w:tabs>
          <w:tab w:val="left" w:pos="1510"/>
        </w:tabs>
        <w:spacing w:before="0" w:after="0" w:line="408" w:lineRule="exact"/>
        <w:ind w:left="142" w:hanging="340"/>
        <w:jc w:val="left"/>
        <w:rPr>
          <w:rStyle w:val="Gvdemetni"/>
          <w:shd w:val="clear" w:color="auto" w:fill="auto"/>
        </w:rPr>
      </w:pPr>
      <w:r w:rsidRPr="00BD531E">
        <w:rPr>
          <w:rStyle w:val="Gvdemetni"/>
          <w:color w:val="000000"/>
        </w:rPr>
        <w:t>Yan etkiler oluşabilir. İlacın etkisi kaybolabilir, artabilir veya azalabilir.</w:t>
      </w:r>
    </w:p>
    <w:p w:rsidR="00BD531E" w:rsidRDefault="00BD531E" w:rsidP="00BD531E">
      <w:pPr>
        <w:pStyle w:val="Gvdemetni1"/>
        <w:shd w:val="clear" w:color="auto" w:fill="auto"/>
        <w:tabs>
          <w:tab w:val="left" w:pos="1510"/>
        </w:tabs>
        <w:spacing w:before="0" w:after="0" w:line="408" w:lineRule="exact"/>
        <w:ind w:left="142" w:firstLine="0"/>
        <w:jc w:val="left"/>
      </w:pPr>
    </w:p>
    <w:p w:rsidR="00BD531E" w:rsidRPr="004700D9" w:rsidRDefault="00BD531E" w:rsidP="00BD531E">
      <w:pPr>
        <w:pStyle w:val="Gvdemetni1"/>
        <w:numPr>
          <w:ilvl w:val="0"/>
          <w:numId w:val="4"/>
        </w:numPr>
        <w:shd w:val="clear" w:color="auto" w:fill="auto"/>
        <w:tabs>
          <w:tab w:val="left" w:pos="316"/>
        </w:tabs>
        <w:spacing w:before="0" w:after="0" w:line="408" w:lineRule="exact"/>
        <w:ind w:left="142" w:firstLine="0"/>
        <w:rPr>
          <w:b/>
        </w:rPr>
      </w:pPr>
      <w:r w:rsidRPr="004700D9">
        <w:rPr>
          <w:rStyle w:val="Gvdemetni"/>
          <w:b/>
          <w:color w:val="000000"/>
        </w:rPr>
        <w:t>FAALİYET AKIŞI:</w:t>
      </w:r>
    </w:p>
    <w:p w:rsidR="00BD531E" w:rsidRDefault="00BD531E" w:rsidP="00BD531E">
      <w:pPr>
        <w:pStyle w:val="Gvdemetni1"/>
        <w:numPr>
          <w:ilvl w:val="1"/>
          <w:numId w:val="4"/>
        </w:numPr>
        <w:shd w:val="clear" w:color="auto" w:fill="auto"/>
        <w:tabs>
          <w:tab w:val="left" w:pos="515"/>
        </w:tabs>
        <w:spacing w:before="0" w:after="98" w:line="278" w:lineRule="exact"/>
        <w:ind w:left="142" w:right="80" w:firstLine="0"/>
      </w:pPr>
      <w:r>
        <w:rPr>
          <w:rStyle w:val="Gvdemetni"/>
          <w:color w:val="000000"/>
        </w:rPr>
        <w:t>Eczane birimince oluşturulan “Temel İlaç Listesi” baz alınarak Geçimsiz İlaçlar Listesi hazırlanır.</w:t>
      </w:r>
    </w:p>
    <w:p w:rsidR="00BD531E" w:rsidRDefault="00BD531E" w:rsidP="00BD531E">
      <w:pPr>
        <w:pStyle w:val="Gvdemetni1"/>
        <w:numPr>
          <w:ilvl w:val="1"/>
          <w:numId w:val="4"/>
        </w:numPr>
        <w:shd w:val="clear" w:color="auto" w:fill="auto"/>
        <w:tabs>
          <w:tab w:val="left" w:pos="499"/>
        </w:tabs>
        <w:spacing w:before="0" w:after="85" w:line="230" w:lineRule="exact"/>
        <w:ind w:left="142" w:firstLine="0"/>
      </w:pPr>
      <w:r>
        <w:rPr>
          <w:rStyle w:val="Gvdemetni"/>
          <w:color w:val="000000"/>
        </w:rPr>
        <w:t>Listelerin ilaç hazırlama alanlarında bulundurulması sağlanır.</w:t>
      </w:r>
    </w:p>
    <w:p w:rsidR="00BD531E" w:rsidRDefault="00BD531E" w:rsidP="00BD531E">
      <w:pPr>
        <w:pStyle w:val="Gvdemetni1"/>
        <w:numPr>
          <w:ilvl w:val="1"/>
          <w:numId w:val="4"/>
        </w:numPr>
        <w:shd w:val="clear" w:color="auto" w:fill="auto"/>
        <w:tabs>
          <w:tab w:val="left" w:pos="530"/>
        </w:tabs>
        <w:spacing w:before="0" w:after="98" w:line="278" w:lineRule="exact"/>
        <w:ind w:left="142" w:right="80" w:firstLine="0"/>
      </w:pPr>
      <w:r>
        <w:rPr>
          <w:rStyle w:val="Gvdemetni"/>
          <w:color w:val="000000"/>
        </w:rPr>
        <w:t>Birden çok sayıda ilacın aynı anda kullanılması gereken durumlarda öncelikle ilaçların birbirleri ile etkileşime girip girmedikleri Geçimsiz İlaçlar Listesinden kontrol edilir.</w:t>
      </w:r>
    </w:p>
    <w:p w:rsidR="00BD531E" w:rsidRDefault="00BD531E" w:rsidP="00BD531E">
      <w:pPr>
        <w:pStyle w:val="Gvdemetni1"/>
        <w:numPr>
          <w:ilvl w:val="1"/>
          <w:numId w:val="4"/>
        </w:numPr>
        <w:shd w:val="clear" w:color="auto" w:fill="auto"/>
        <w:tabs>
          <w:tab w:val="left" w:pos="499"/>
        </w:tabs>
        <w:spacing w:before="0" w:after="115" w:line="230" w:lineRule="exact"/>
        <w:ind w:left="142" w:firstLine="0"/>
      </w:pPr>
      <w:r>
        <w:rPr>
          <w:rStyle w:val="Gvdemetni"/>
          <w:color w:val="000000"/>
        </w:rPr>
        <w:t xml:space="preserve">Listede geçimsizlik tanımlanmışsa söz konusu ilaçlar </w:t>
      </w:r>
      <w:r>
        <w:rPr>
          <w:rStyle w:val="Gvdemetni2"/>
          <w:color w:val="000000"/>
        </w:rPr>
        <w:t>kesinlikle karıştırılmamalıdır.</w:t>
      </w:r>
    </w:p>
    <w:p w:rsidR="00BD531E" w:rsidRDefault="00BD531E" w:rsidP="00BD531E">
      <w:pPr>
        <w:pStyle w:val="Gvdemetni1"/>
        <w:numPr>
          <w:ilvl w:val="1"/>
          <w:numId w:val="4"/>
        </w:numPr>
        <w:shd w:val="clear" w:color="auto" w:fill="auto"/>
        <w:tabs>
          <w:tab w:val="left" w:pos="509"/>
        </w:tabs>
        <w:spacing w:before="0" w:after="60"/>
        <w:ind w:left="142" w:right="80" w:firstLine="0"/>
      </w:pPr>
      <w:r>
        <w:rPr>
          <w:rStyle w:val="Gvdemetni"/>
          <w:color w:val="000000"/>
        </w:rPr>
        <w:t xml:space="preserve">İlaç ilaveleri mümkünse aseptik koşullarda yapılmalıdır. Aseptik koşullar sağlanamıyorsa hij yenik koşullara uygun, kontaminasyonun minimum düzeye indirildildiği ortamlarda yapılmalıdır. Karışımlar kesinlikle </w:t>
      </w:r>
      <w:r>
        <w:rPr>
          <w:rStyle w:val="Gvdemetni2"/>
          <w:color w:val="000000"/>
        </w:rPr>
        <w:t>hasta başında hazırlanmamalıdır.</w:t>
      </w:r>
    </w:p>
    <w:p w:rsidR="00BD531E" w:rsidRDefault="00BD531E" w:rsidP="00BD531E">
      <w:pPr>
        <w:pStyle w:val="Gvdemetni1"/>
        <w:numPr>
          <w:ilvl w:val="1"/>
          <w:numId w:val="4"/>
        </w:numPr>
        <w:shd w:val="clear" w:color="auto" w:fill="auto"/>
        <w:tabs>
          <w:tab w:val="left" w:pos="541"/>
        </w:tabs>
        <w:spacing w:before="0" w:after="94"/>
        <w:ind w:left="142" w:right="80" w:firstLine="0"/>
      </w:pPr>
      <w:r>
        <w:rPr>
          <w:rStyle w:val="Gvdemetni"/>
          <w:color w:val="000000"/>
        </w:rPr>
        <w:t>Karışımlar taze hazırlanmalı, ortaya çıkabilecek değişiklikler gözlenmeli ve bulanıklık, çökelme, renk değişimi gibi değişiklikler oluşması durumunda hazırlanan karışım kullanılmamalıdır.</w:t>
      </w:r>
    </w:p>
    <w:p w:rsidR="00BD531E" w:rsidRDefault="00BD531E" w:rsidP="00BD531E">
      <w:pPr>
        <w:pStyle w:val="Gvdemetni1"/>
        <w:numPr>
          <w:ilvl w:val="1"/>
          <w:numId w:val="4"/>
        </w:numPr>
        <w:shd w:val="clear" w:color="auto" w:fill="auto"/>
        <w:tabs>
          <w:tab w:val="left" w:pos="499"/>
        </w:tabs>
        <w:spacing w:before="0" w:after="84" w:line="230" w:lineRule="exact"/>
        <w:ind w:left="142" w:firstLine="0"/>
      </w:pPr>
      <w:r>
        <w:rPr>
          <w:rStyle w:val="Gvdemetni"/>
          <w:color w:val="000000"/>
        </w:rPr>
        <w:t>İnfüzyon sıvılarına mümkün olduğunca az ilaç karıştırılmalıdır.</w:t>
      </w:r>
    </w:p>
    <w:p w:rsidR="00BD531E" w:rsidRDefault="00BD531E" w:rsidP="00BD531E">
      <w:pPr>
        <w:pStyle w:val="Gvdemetni1"/>
        <w:numPr>
          <w:ilvl w:val="1"/>
          <w:numId w:val="4"/>
        </w:numPr>
        <w:shd w:val="clear" w:color="auto" w:fill="auto"/>
        <w:tabs>
          <w:tab w:val="left" w:pos="541"/>
        </w:tabs>
        <w:spacing w:before="0" w:after="56"/>
        <w:ind w:left="142" w:right="80" w:firstLine="0"/>
      </w:pPr>
      <w:r>
        <w:rPr>
          <w:rStyle w:val="Gvdemetni"/>
          <w:color w:val="000000"/>
        </w:rPr>
        <w:t>Birçok sayıda ilaç kullanılması gereken ve geçimsizliği konusunda emin olunamayan durumlarda her ilacı ayrı ayrı ve mümkün olduğunca farklı zamanlarda uygulamak gerekir.</w:t>
      </w:r>
    </w:p>
    <w:p w:rsidR="00BD531E" w:rsidRDefault="00BD531E" w:rsidP="00BD531E">
      <w:pPr>
        <w:pStyle w:val="Gvdemetni1"/>
        <w:numPr>
          <w:ilvl w:val="1"/>
          <w:numId w:val="4"/>
        </w:numPr>
        <w:shd w:val="clear" w:color="auto" w:fill="auto"/>
        <w:tabs>
          <w:tab w:val="left" w:pos="520"/>
        </w:tabs>
        <w:spacing w:before="0" w:after="0" w:line="278" w:lineRule="exact"/>
        <w:ind w:left="142" w:right="80" w:firstLine="0"/>
      </w:pPr>
      <w:r>
        <w:rPr>
          <w:rStyle w:val="Gvdemetni"/>
          <w:color w:val="000000"/>
        </w:rPr>
        <w:t>İki ilaç aynı anda infüze edilecekse ve geçimsizlik durumu biliniyorsa, önlem olarak iki ayrı infüzyon seti kullanılarak hazırlanmalıdır.</w:t>
      </w:r>
    </w:p>
    <w:p w:rsidR="00BD531E" w:rsidRDefault="00BD531E" w:rsidP="00BD531E">
      <w:pPr>
        <w:ind w:left="142"/>
        <w:rPr>
          <w:sz w:val="2"/>
          <w:szCs w:val="2"/>
        </w:rPr>
      </w:pPr>
    </w:p>
    <w:p w:rsidR="00BD531E" w:rsidRDefault="00BD531E" w:rsidP="00BD531E">
      <w:pPr>
        <w:pStyle w:val="Gvdemetni1"/>
        <w:numPr>
          <w:ilvl w:val="1"/>
          <w:numId w:val="4"/>
        </w:numPr>
        <w:shd w:val="clear" w:color="auto" w:fill="auto"/>
        <w:tabs>
          <w:tab w:val="left" w:pos="724"/>
        </w:tabs>
        <w:spacing w:before="166" w:after="94"/>
        <w:ind w:left="142" w:right="80" w:firstLine="0"/>
      </w:pPr>
      <w:r>
        <w:rPr>
          <w:rStyle w:val="Gvdemetni"/>
          <w:color w:val="000000"/>
        </w:rPr>
        <w:t>İlaçların geçimsizliği uygulama öncesinde tespit edildiğinde eczane birimine olay bildirilir ve görüş alınır. Olay güvenlik raporlama sistemi kapsamında bildirilmelidir. Güvenlik raporlama sistemi bildirim formuna karışıma hangi ilaçların eklendiği (ticari ve jenerik adları ile) belirtilmelidir.</w:t>
      </w:r>
    </w:p>
    <w:p w:rsidR="00BD531E" w:rsidRDefault="00BD531E" w:rsidP="00BD531E">
      <w:pPr>
        <w:pStyle w:val="Gvdemetni1"/>
        <w:numPr>
          <w:ilvl w:val="1"/>
          <w:numId w:val="4"/>
        </w:numPr>
        <w:shd w:val="clear" w:color="auto" w:fill="auto"/>
        <w:tabs>
          <w:tab w:val="left" w:pos="651"/>
        </w:tabs>
        <w:spacing w:before="0" w:after="3" w:line="230" w:lineRule="exact"/>
        <w:ind w:left="142" w:firstLine="0"/>
      </w:pPr>
      <w:r>
        <w:rPr>
          <w:rStyle w:val="Gvdemetni"/>
          <w:color w:val="000000"/>
        </w:rPr>
        <w:lastRenderedPageBreak/>
        <w:t>Geçimsizlik gözlenen karışımlar hakkında İlaç ve Tıbbi Malzeme İmha Talimatına</w:t>
      </w:r>
    </w:p>
    <w:p w:rsidR="00BD531E" w:rsidRDefault="00BD531E" w:rsidP="00BD531E">
      <w:pPr>
        <w:pStyle w:val="Gvdemetni1"/>
        <w:shd w:val="clear" w:color="auto" w:fill="auto"/>
        <w:spacing w:before="0" w:after="85" w:line="230" w:lineRule="exact"/>
        <w:ind w:left="142" w:firstLine="0"/>
      </w:pPr>
      <w:r>
        <w:rPr>
          <w:rStyle w:val="Gvdemetni"/>
          <w:color w:val="000000"/>
        </w:rPr>
        <w:t>göre işlem yapılır.</w:t>
      </w:r>
    </w:p>
    <w:p w:rsidR="00BD531E" w:rsidRDefault="00BD531E" w:rsidP="00BD531E">
      <w:pPr>
        <w:pStyle w:val="Gvdemetni1"/>
        <w:numPr>
          <w:ilvl w:val="1"/>
          <w:numId w:val="4"/>
        </w:numPr>
        <w:shd w:val="clear" w:color="auto" w:fill="auto"/>
        <w:tabs>
          <w:tab w:val="left" w:pos="782"/>
        </w:tabs>
        <w:spacing w:before="0" w:after="60" w:line="278" w:lineRule="exact"/>
        <w:ind w:left="142" w:right="80" w:firstLine="0"/>
      </w:pPr>
      <w:r>
        <w:rPr>
          <w:rStyle w:val="Gvdemetni"/>
          <w:color w:val="000000"/>
        </w:rPr>
        <w:t>Geçimsiz olan ilaçların hastaya uygulandığı tespit edildiği anda uygulama sonlandırılarak hekime bilgi verilir. Hastalara müdahale için kliniklerde acil ilaçlar bulundurulur. Gerekirse Mavi Kod kullanılarak müdahale yapılır.</w:t>
      </w:r>
    </w:p>
    <w:p w:rsidR="00BD531E" w:rsidRPr="004700D9" w:rsidRDefault="00BD531E" w:rsidP="00BD531E">
      <w:pPr>
        <w:pStyle w:val="Gvdemetni1"/>
        <w:numPr>
          <w:ilvl w:val="1"/>
          <w:numId w:val="4"/>
        </w:numPr>
        <w:shd w:val="clear" w:color="auto" w:fill="auto"/>
        <w:tabs>
          <w:tab w:val="left" w:pos="682"/>
        </w:tabs>
        <w:spacing w:before="0" w:after="1985" w:line="278" w:lineRule="exact"/>
        <w:ind w:left="142" w:right="80" w:firstLine="0"/>
        <w:rPr>
          <w:rStyle w:val="Gvdemetni"/>
        </w:rPr>
      </w:pPr>
      <w:r>
        <w:rPr>
          <w:rStyle w:val="Gvdemetni"/>
          <w:color w:val="000000"/>
        </w:rPr>
        <w:t xml:space="preserve">İlaç geçimsizliği hakkında mevcut bilgi kaynağı yok ise </w:t>
      </w:r>
      <w:r>
        <w:rPr>
          <w:rStyle w:val="Gvdemetni105pt"/>
          <w:color w:val="000000"/>
        </w:rPr>
        <w:t xml:space="preserve">Ulusal Zehir Bilgi Merkezi ( UZEM ) : 114 </w:t>
      </w:r>
      <w:r>
        <w:rPr>
          <w:rStyle w:val="Gvdemetni"/>
          <w:color w:val="000000"/>
        </w:rPr>
        <w:t>ile iletişime geçilir.</w:t>
      </w:r>
    </w:p>
    <w:p w:rsidR="00BD531E" w:rsidRPr="004700D9" w:rsidRDefault="00BD531E" w:rsidP="00BD531E">
      <w:pPr>
        <w:pStyle w:val="Balk20"/>
        <w:keepNext/>
        <w:keepLines/>
        <w:numPr>
          <w:ilvl w:val="0"/>
          <w:numId w:val="4"/>
        </w:numPr>
        <w:shd w:val="clear" w:color="auto" w:fill="auto"/>
        <w:tabs>
          <w:tab w:val="left" w:pos="316"/>
        </w:tabs>
        <w:spacing w:before="0" w:line="272" w:lineRule="exact"/>
        <w:ind w:left="142"/>
        <w:rPr>
          <w:b/>
        </w:rPr>
      </w:pPr>
      <w:bookmarkStart w:id="3" w:name="bookmark3"/>
      <w:r w:rsidRPr="004700D9">
        <w:rPr>
          <w:rStyle w:val="Balk2"/>
          <w:b/>
          <w:color w:val="000000"/>
        </w:rPr>
        <w:t>İLGİLİ DOKÜMANLAR:</w:t>
      </w:r>
      <w:bookmarkEnd w:id="3"/>
    </w:p>
    <w:p w:rsidR="00BD531E" w:rsidRDefault="00BD531E" w:rsidP="00BD531E">
      <w:pPr>
        <w:pStyle w:val="Gvdemetni1"/>
        <w:numPr>
          <w:ilvl w:val="1"/>
          <w:numId w:val="4"/>
        </w:numPr>
        <w:shd w:val="clear" w:color="auto" w:fill="auto"/>
        <w:tabs>
          <w:tab w:val="left" w:pos="499"/>
        </w:tabs>
        <w:spacing w:before="0" w:after="0"/>
        <w:ind w:left="142" w:firstLine="0"/>
      </w:pPr>
      <w:r>
        <w:rPr>
          <w:rStyle w:val="Gvdemetni"/>
          <w:color w:val="000000"/>
        </w:rPr>
        <w:t>Geçimsiz İlaçlar Listesi</w:t>
      </w:r>
    </w:p>
    <w:p w:rsidR="00BD531E" w:rsidRDefault="00BD531E" w:rsidP="00BD531E">
      <w:pPr>
        <w:pStyle w:val="Gvdemetni1"/>
        <w:numPr>
          <w:ilvl w:val="1"/>
          <w:numId w:val="4"/>
        </w:numPr>
        <w:shd w:val="clear" w:color="auto" w:fill="auto"/>
        <w:tabs>
          <w:tab w:val="left" w:pos="499"/>
        </w:tabs>
        <w:spacing w:before="0" w:after="956"/>
        <w:ind w:left="142" w:firstLine="0"/>
      </w:pPr>
      <w:r>
        <w:rPr>
          <w:rStyle w:val="Gvdemetni"/>
          <w:color w:val="000000"/>
        </w:rPr>
        <w:t>Güvenlik Raporlama Sistemi Bildirim Formu</w:t>
      </w:r>
    </w:p>
    <w:p w:rsidR="00BD531E" w:rsidRDefault="00BD531E" w:rsidP="00BD531E">
      <w:pPr>
        <w:pStyle w:val="Balk11"/>
        <w:keepNext/>
        <w:keepLines/>
        <w:shd w:val="clear" w:color="auto" w:fill="auto"/>
        <w:spacing w:before="0"/>
        <w:ind w:left="142"/>
      </w:pPr>
      <w:bookmarkStart w:id="4" w:name="bookmark4"/>
      <w:r>
        <w:rPr>
          <w:rStyle w:val="Balk10"/>
          <w:color w:val="000000"/>
        </w:rPr>
        <w:t>DAYANAK:</w:t>
      </w:r>
      <w:bookmarkEnd w:id="4"/>
    </w:p>
    <w:p w:rsidR="00BD531E" w:rsidRDefault="00BD531E" w:rsidP="00BD531E">
      <w:pPr>
        <w:pStyle w:val="Gvdemetni1"/>
        <w:shd w:val="clear" w:color="auto" w:fill="auto"/>
        <w:spacing w:before="0" w:after="0" w:line="278" w:lineRule="exact"/>
        <w:ind w:left="142" w:right="80" w:firstLine="0"/>
        <w:rPr>
          <w:rStyle w:val="Gvdemetni"/>
          <w:color w:val="000000"/>
        </w:rPr>
      </w:pPr>
      <w:r>
        <w:rPr>
          <w:rStyle w:val="Gvdemetni"/>
          <w:color w:val="000000"/>
        </w:rPr>
        <w:t>12.04.2014 tarih ve 28970 sayılı Resmi Gazetede Yayınlanan Eczacılar ve Eczaneler Hakkında Yönetmeliğin 6. Maddesi (c) fıkrası ile 7. Maddesi (c) fıkrası.</w:t>
      </w:r>
    </w:p>
    <w:p w:rsidR="00BD531E" w:rsidRDefault="00BD531E" w:rsidP="00BD531E">
      <w:pPr>
        <w:pStyle w:val="Gvdemetni1"/>
        <w:shd w:val="clear" w:color="auto" w:fill="auto"/>
        <w:spacing w:before="0" w:after="0" w:line="278" w:lineRule="exact"/>
        <w:ind w:left="142" w:right="80" w:firstLine="0"/>
        <w:rPr>
          <w:rStyle w:val="Gvdemetni"/>
          <w:color w:val="000000"/>
        </w:rPr>
      </w:pPr>
    </w:p>
    <w:p w:rsidR="00BD531E" w:rsidRDefault="00BD531E" w:rsidP="00BD531E">
      <w:pPr>
        <w:pStyle w:val="Gvdemetni1"/>
        <w:shd w:val="clear" w:color="auto" w:fill="auto"/>
        <w:spacing w:before="0" w:after="0" w:line="278" w:lineRule="exact"/>
        <w:ind w:left="142" w:right="80" w:firstLine="0"/>
        <w:rPr>
          <w:rStyle w:val="Gvdemetni"/>
          <w:color w:val="000000"/>
        </w:rPr>
      </w:pPr>
    </w:p>
    <w:tbl>
      <w:tblPr>
        <w:tblStyle w:val="TabloKlavuzu"/>
        <w:tblpPr w:leftFromText="141" w:rightFromText="141" w:vertAnchor="text" w:horzAnchor="margin" w:tblpXSpec="center" w:tblpY="3072"/>
        <w:tblW w:w="0" w:type="auto"/>
        <w:tblLook w:val="04A0"/>
      </w:tblPr>
      <w:tblGrid>
        <w:gridCol w:w="2660"/>
        <w:gridCol w:w="2889"/>
        <w:gridCol w:w="2281"/>
      </w:tblGrid>
      <w:tr w:rsidR="00BD531E" w:rsidTr="00BD531E">
        <w:trPr>
          <w:trHeight w:val="322"/>
        </w:trPr>
        <w:tc>
          <w:tcPr>
            <w:tcW w:w="2660" w:type="dxa"/>
          </w:tcPr>
          <w:p w:rsidR="00BD531E" w:rsidRDefault="00BD531E" w:rsidP="00BD531E">
            <w:pPr>
              <w:ind w:left="142"/>
              <w:jc w:val="center"/>
              <w:rPr>
                <w:b/>
              </w:rPr>
            </w:pPr>
            <w:r>
              <w:rPr>
                <w:b/>
              </w:rPr>
              <w:t>HAZIRLAYAN</w:t>
            </w:r>
          </w:p>
        </w:tc>
        <w:tc>
          <w:tcPr>
            <w:tcW w:w="2889" w:type="dxa"/>
          </w:tcPr>
          <w:p w:rsidR="00BD531E" w:rsidRDefault="00BD531E" w:rsidP="00BD531E">
            <w:pPr>
              <w:ind w:left="142"/>
              <w:jc w:val="center"/>
              <w:rPr>
                <w:b/>
              </w:rPr>
            </w:pPr>
            <w:r>
              <w:rPr>
                <w:b/>
              </w:rPr>
              <w:t>KONTROL EDEN</w:t>
            </w:r>
          </w:p>
        </w:tc>
        <w:tc>
          <w:tcPr>
            <w:tcW w:w="2281" w:type="dxa"/>
          </w:tcPr>
          <w:p w:rsidR="00BD531E" w:rsidRDefault="00BD531E" w:rsidP="00BD531E">
            <w:pPr>
              <w:ind w:left="142"/>
              <w:jc w:val="center"/>
              <w:rPr>
                <w:b/>
              </w:rPr>
            </w:pPr>
            <w:r>
              <w:rPr>
                <w:b/>
              </w:rPr>
              <w:t>ONAYLAYAN</w:t>
            </w:r>
          </w:p>
        </w:tc>
      </w:tr>
      <w:tr w:rsidR="00E0567D" w:rsidTr="00BD531E">
        <w:trPr>
          <w:trHeight w:val="322"/>
        </w:trPr>
        <w:tc>
          <w:tcPr>
            <w:tcW w:w="2660" w:type="dxa"/>
          </w:tcPr>
          <w:p w:rsidR="00E0567D" w:rsidRPr="007C072C" w:rsidRDefault="00E0567D" w:rsidP="00E0567D">
            <w:pPr>
              <w:ind w:left="142"/>
              <w:jc w:val="center"/>
            </w:pPr>
            <w:r w:rsidRPr="007C072C">
              <w:t>Kalite Yönetim Direktörü</w:t>
            </w:r>
          </w:p>
        </w:tc>
        <w:tc>
          <w:tcPr>
            <w:tcW w:w="2889" w:type="dxa"/>
          </w:tcPr>
          <w:p w:rsidR="00E0567D" w:rsidRDefault="00E0567D" w:rsidP="00E0567D">
            <w:pPr>
              <w:jc w:val="center"/>
            </w:pPr>
            <w:r>
              <w:t>İdari ve Mali İşler Müdür V.</w:t>
            </w:r>
          </w:p>
        </w:tc>
        <w:tc>
          <w:tcPr>
            <w:tcW w:w="2281" w:type="dxa"/>
          </w:tcPr>
          <w:p w:rsidR="00E0567D" w:rsidRPr="007C072C" w:rsidRDefault="00E0567D" w:rsidP="00E0567D">
            <w:pPr>
              <w:ind w:left="142"/>
              <w:jc w:val="center"/>
            </w:pPr>
            <w:r w:rsidRPr="007C072C">
              <w:t>Başhekim</w:t>
            </w:r>
          </w:p>
        </w:tc>
      </w:tr>
      <w:tr w:rsidR="00E0567D" w:rsidTr="00BD531E">
        <w:trPr>
          <w:trHeight w:val="322"/>
        </w:trPr>
        <w:tc>
          <w:tcPr>
            <w:tcW w:w="2660" w:type="dxa"/>
          </w:tcPr>
          <w:p w:rsidR="00E0567D" w:rsidRPr="007C072C" w:rsidRDefault="00E0567D" w:rsidP="00E0567D">
            <w:pPr>
              <w:ind w:left="142"/>
              <w:jc w:val="center"/>
            </w:pPr>
            <w:r w:rsidRPr="007C072C">
              <w:t>Türkan GELEN</w:t>
            </w:r>
          </w:p>
        </w:tc>
        <w:tc>
          <w:tcPr>
            <w:tcW w:w="2889" w:type="dxa"/>
          </w:tcPr>
          <w:p w:rsidR="00E0567D" w:rsidRDefault="00E0567D" w:rsidP="00E0567D">
            <w:pPr>
              <w:jc w:val="center"/>
            </w:pPr>
            <w:r>
              <w:t>Veysel ŞAŞMAZ</w:t>
            </w:r>
          </w:p>
        </w:tc>
        <w:tc>
          <w:tcPr>
            <w:tcW w:w="2281" w:type="dxa"/>
          </w:tcPr>
          <w:p w:rsidR="00E0567D" w:rsidRPr="007C072C" w:rsidRDefault="00E0567D" w:rsidP="00E0567D">
            <w:pPr>
              <w:ind w:left="142"/>
              <w:jc w:val="center"/>
            </w:pPr>
            <w:r w:rsidRPr="007C072C">
              <w:t>Oğuz ÇELİK</w:t>
            </w:r>
          </w:p>
        </w:tc>
      </w:tr>
      <w:tr w:rsidR="00BD531E" w:rsidTr="00BD531E">
        <w:trPr>
          <w:trHeight w:val="353"/>
        </w:trPr>
        <w:tc>
          <w:tcPr>
            <w:tcW w:w="2660" w:type="dxa"/>
          </w:tcPr>
          <w:p w:rsidR="00BD531E" w:rsidRDefault="00BD531E" w:rsidP="00BD531E">
            <w:pPr>
              <w:ind w:left="142"/>
              <w:rPr>
                <w:b/>
              </w:rPr>
            </w:pPr>
          </w:p>
        </w:tc>
        <w:tc>
          <w:tcPr>
            <w:tcW w:w="2889" w:type="dxa"/>
          </w:tcPr>
          <w:p w:rsidR="00BD531E" w:rsidRDefault="00BD531E" w:rsidP="00BD531E">
            <w:pPr>
              <w:ind w:left="142"/>
              <w:rPr>
                <w:b/>
              </w:rPr>
            </w:pPr>
          </w:p>
        </w:tc>
        <w:tc>
          <w:tcPr>
            <w:tcW w:w="2281" w:type="dxa"/>
          </w:tcPr>
          <w:p w:rsidR="00BD531E" w:rsidRDefault="00BD531E" w:rsidP="00BD531E">
            <w:pPr>
              <w:ind w:left="142"/>
              <w:rPr>
                <w:b/>
              </w:rPr>
            </w:pPr>
          </w:p>
        </w:tc>
      </w:tr>
    </w:tbl>
    <w:p w:rsidR="00F82995" w:rsidRPr="00F82995" w:rsidRDefault="00F82995" w:rsidP="00BD531E">
      <w:pPr>
        <w:shd w:val="clear" w:color="auto" w:fill="FFFFFF"/>
        <w:spacing w:before="100" w:beforeAutospacing="1" w:after="100" w:afterAutospacing="1" w:line="240" w:lineRule="auto"/>
        <w:ind w:left="142" w:right="-284"/>
        <w:rPr>
          <w:rFonts w:ascii="Times New Roman" w:eastAsia="Times New Roman" w:hAnsi="Times New Roman" w:cs="Times New Roman"/>
          <w:vanish/>
          <w:color w:val="0C0C0C"/>
          <w:sz w:val="24"/>
          <w:szCs w:val="24"/>
          <w:lang w:eastAsia="tr-TR"/>
        </w:rPr>
      </w:pPr>
    </w:p>
    <w:p w:rsidR="00C20B34" w:rsidRDefault="00C20B34" w:rsidP="00BD531E">
      <w:pPr>
        <w:ind w:left="142"/>
      </w:pPr>
    </w:p>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4AC" w:rsidRDefault="006874AC" w:rsidP="00E34508">
      <w:pPr>
        <w:spacing w:after="0" w:line="240" w:lineRule="auto"/>
      </w:pPr>
      <w:r>
        <w:separator/>
      </w:r>
    </w:p>
  </w:endnote>
  <w:endnote w:type="continuationSeparator" w:id="1">
    <w:p w:rsidR="006874AC" w:rsidRDefault="006874AC"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4AC" w:rsidRDefault="006874AC" w:rsidP="00E34508">
      <w:pPr>
        <w:spacing w:after="0" w:line="240" w:lineRule="auto"/>
      </w:pPr>
      <w:r>
        <w:separator/>
      </w:r>
    </w:p>
  </w:footnote>
  <w:footnote w:type="continuationSeparator" w:id="1">
    <w:p w:rsidR="006874AC" w:rsidRDefault="006874AC"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5AA94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05"/>
    <w:multiLevelType w:val="multilevel"/>
    <w:tmpl w:val="5BC2777C"/>
    <w:lvl w:ilvl="0">
      <w:start w:val="2"/>
      <w:numFmt w:val="decimal"/>
      <w:lvlText w:val="4.%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4">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12276E"/>
    <w:rsid w:val="001302DE"/>
    <w:rsid w:val="003B4F05"/>
    <w:rsid w:val="004C593F"/>
    <w:rsid w:val="00544772"/>
    <w:rsid w:val="006469F1"/>
    <w:rsid w:val="00646C2A"/>
    <w:rsid w:val="006874AC"/>
    <w:rsid w:val="007462E2"/>
    <w:rsid w:val="00756F7F"/>
    <w:rsid w:val="0080459B"/>
    <w:rsid w:val="00831CEC"/>
    <w:rsid w:val="00917E91"/>
    <w:rsid w:val="009B2D3E"/>
    <w:rsid w:val="00A15307"/>
    <w:rsid w:val="00AE6B08"/>
    <w:rsid w:val="00BD531E"/>
    <w:rsid w:val="00BF48C2"/>
    <w:rsid w:val="00C20B34"/>
    <w:rsid w:val="00D331C1"/>
    <w:rsid w:val="00E005BA"/>
    <w:rsid w:val="00E0567D"/>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character" w:customStyle="1" w:styleId="Gvdemetni">
    <w:name w:val="Gövde metni_"/>
    <w:basedOn w:val="VarsaylanParagrafYazTipi"/>
    <w:link w:val="Gvdemetni1"/>
    <w:uiPriority w:val="99"/>
    <w:locked/>
    <w:rsid w:val="00BD531E"/>
    <w:rPr>
      <w:rFonts w:ascii="Times New Roman" w:hAnsi="Times New Roman" w:cs="Times New Roman"/>
      <w:sz w:val="23"/>
      <w:szCs w:val="23"/>
      <w:shd w:val="clear" w:color="auto" w:fill="FFFFFF"/>
    </w:rPr>
  </w:style>
  <w:style w:type="character" w:customStyle="1" w:styleId="Balk2">
    <w:name w:val="Başlık #2_"/>
    <w:basedOn w:val="VarsaylanParagrafYazTipi"/>
    <w:link w:val="Balk20"/>
    <w:uiPriority w:val="99"/>
    <w:locked/>
    <w:rsid w:val="00BD531E"/>
    <w:rPr>
      <w:rFonts w:ascii="Times New Roman" w:hAnsi="Times New Roman" w:cs="Times New Roman"/>
      <w:sz w:val="23"/>
      <w:szCs w:val="23"/>
      <w:shd w:val="clear" w:color="auto" w:fill="FFFFFF"/>
    </w:rPr>
  </w:style>
  <w:style w:type="character" w:customStyle="1" w:styleId="Gvdemetni2">
    <w:name w:val="Gövde metni2"/>
    <w:basedOn w:val="Gvdemetni"/>
    <w:uiPriority w:val="99"/>
    <w:rsid w:val="00BD531E"/>
    <w:rPr>
      <w:u w:val="single"/>
    </w:rPr>
  </w:style>
  <w:style w:type="character" w:customStyle="1" w:styleId="Gvdemetni105pt">
    <w:name w:val="Gövde metni + 10.5 pt"/>
    <w:basedOn w:val="Gvdemetni"/>
    <w:uiPriority w:val="99"/>
    <w:rsid w:val="00BD531E"/>
    <w:rPr>
      <w:sz w:val="21"/>
      <w:szCs w:val="21"/>
    </w:rPr>
  </w:style>
  <w:style w:type="character" w:customStyle="1" w:styleId="Balk10">
    <w:name w:val="Başlık #1_"/>
    <w:basedOn w:val="VarsaylanParagrafYazTipi"/>
    <w:link w:val="Balk11"/>
    <w:uiPriority w:val="99"/>
    <w:locked/>
    <w:rsid w:val="00BD531E"/>
    <w:rPr>
      <w:rFonts w:ascii="Times New Roman" w:hAnsi="Times New Roman" w:cs="Times New Roman"/>
      <w:b/>
      <w:bCs/>
      <w:sz w:val="28"/>
      <w:szCs w:val="28"/>
      <w:shd w:val="clear" w:color="auto" w:fill="FFFFFF"/>
    </w:rPr>
  </w:style>
  <w:style w:type="paragraph" w:customStyle="1" w:styleId="Gvdemetni1">
    <w:name w:val="Gövde metni1"/>
    <w:basedOn w:val="Normal"/>
    <w:link w:val="Gvdemetni"/>
    <w:uiPriority w:val="99"/>
    <w:rsid w:val="00BD531E"/>
    <w:pPr>
      <w:widowControl w:val="0"/>
      <w:shd w:val="clear" w:color="auto" w:fill="FFFFFF"/>
      <w:spacing w:before="240" w:after="120" w:line="272" w:lineRule="exact"/>
      <w:ind w:hanging="380"/>
      <w:jc w:val="both"/>
    </w:pPr>
    <w:rPr>
      <w:rFonts w:ascii="Times New Roman" w:hAnsi="Times New Roman" w:cs="Times New Roman"/>
      <w:sz w:val="23"/>
      <w:szCs w:val="23"/>
    </w:rPr>
  </w:style>
  <w:style w:type="paragraph" w:customStyle="1" w:styleId="Balk20">
    <w:name w:val="Başlık #2"/>
    <w:basedOn w:val="Normal"/>
    <w:link w:val="Balk2"/>
    <w:uiPriority w:val="99"/>
    <w:rsid w:val="00BD531E"/>
    <w:pPr>
      <w:widowControl w:val="0"/>
      <w:shd w:val="clear" w:color="auto" w:fill="FFFFFF"/>
      <w:spacing w:before="240" w:after="0" w:line="293" w:lineRule="exact"/>
      <w:jc w:val="both"/>
      <w:outlineLvl w:val="1"/>
    </w:pPr>
    <w:rPr>
      <w:rFonts w:ascii="Times New Roman" w:hAnsi="Times New Roman" w:cs="Times New Roman"/>
      <w:sz w:val="23"/>
      <w:szCs w:val="23"/>
    </w:rPr>
  </w:style>
  <w:style w:type="paragraph" w:customStyle="1" w:styleId="Balk11">
    <w:name w:val="Başlık #1"/>
    <w:basedOn w:val="Normal"/>
    <w:link w:val="Balk10"/>
    <w:uiPriority w:val="99"/>
    <w:rsid w:val="00BD531E"/>
    <w:pPr>
      <w:widowControl w:val="0"/>
      <w:shd w:val="clear" w:color="auto" w:fill="FFFFFF"/>
      <w:spacing w:before="960" w:after="0" w:line="278" w:lineRule="exact"/>
      <w:jc w:val="both"/>
      <w:outlineLvl w:val="0"/>
    </w:pPr>
    <w:rPr>
      <w:rFonts w:ascii="Times New Roman" w:hAnsi="Times New Roman" w:cs="Times New Roman"/>
      <w:b/>
      <w:bCs/>
      <w:sz w:val="28"/>
      <w:szCs w:val="28"/>
    </w:rPr>
  </w:style>
  <w:style w:type="character" w:customStyle="1" w:styleId="Gvdemetni0">
    <w:name w:val="Gövde metni"/>
    <w:basedOn w:val="Gvdemetni"/>
    <w:uiPriority w:val="99"/>
    <w:rsid w:val="00BD531E"/>
    <w:rPr>
      <w:u w:val="none"/>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4</cp:revision>
  <dcterms:created xsi:type="dcterms:W3CDTF">2021-12-25T14:26:00Z</dcterms:created>
  <dcterms:modified xsi:type="dcterms:W3CDTF">2022-05-19T08:26:00Z</dcterms:modified>
</cp:coreProperties>
</file>