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26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6555"/>
        <w:gridCol w:w="1454"/>
        <w:gridCol w:w="1166"/>
      </w:tblGrid>
      <w:tr w:rsidR="00F76C69" w:rsidRPr="002B7E42" w:rsidTr="00F76C69">
        <w:trPr>
          <w:trHeight w:hRule="exact" w:val="291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69" w:rsidRPr="002B7E42" w:rsidRDefault="00F76C69" w:rsidP="00F76C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6C69" w:rsidRPr="002B7E42" w:rsidRDefault="00F76C69" w:rsidP="00F76C69">
            <w:pPr>
              <w:pStyle w:val="AralkYok"/>
              <w:tabs>
                <w:tab w:val="left" w:pos="1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EF" w:rsidRDefault="00013FEF" w:rsidP="00013FE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MARDİN İL SAĞLIK MÜDÜRLÜĞÜ</w:t>
            </w:r>
          </w:p>
          <w:p w:rsidR="00F76C69" w:rsidRPr="002B7E42" w:rsidRDefault="00013FEF" w:rsidP="00013FE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</w:rPr>
              <w:t>SAVUR PROF. DR. AZİZ SANCAR İLÇE DEVLET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HASTANESİ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B7E42">
              <w:rPr>
                <w:rFonts w:ascii="Times New Roman" w:hAnsi="Times New Roman"/>
                <w:sz w:val="18"/>
                <w:szCs w:val="18"/>
              </w:rPr>
              <w:t>Doküman Kodu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KU.YD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013FE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F76C69" w:rsidRPr="002B7E42" w:rsidTr="00F76C69">
        <w:trPr>
          <w:trHeight w:hRule="exact" w:val="291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B7E42">
              <w:rPr>
                <w:rFonts w:ascii="Times New Roman" w:hAnsi="Times New Roman"/>
                <w:sz w:val="18"/>
                <w:szCs w:val="18"/>
              </w:rPr>
              <w:t>Yayın Tarihi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D33616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  <w:r w:rsidR="00F76C69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</w:tr>
      <w:tr w:rsidR="00F76C69" w:rsidRPr="002B7E42" w:rsidTr="00F76C69">
        <w:trPr>
          <w:trHeight w:hRule="exact" w:val="291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B7E42">
              <w:rPr>
                <w:rFonts w:ascii="Times New Roman" w:hAnsi="Times New Roman"/>
                <w:sz w:val="18"/>
                <w:szCs w:val="18"/>
              </w:rPr>
              <w:t>Revizyon 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3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76C69" w:rsidRPr="002B7E42" w:rsidTr="00F76C69">
        <w:trPr>
          <w:trHeight w:hRule="exact" w:val="291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B7E42">
              <w:rPr>
                <w:rFonts w:ascii="Times New Roman" w:hAnsi="Times New Roman"/>
                <w:sz w:val="18"/>
                <w:szCs w:val="18"/>
              </w:rPr>
              <w:t>Revizyon Tarihi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9325A5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21.01.2021</w:t>
            </w:r>
          </w:p>
        </w:tc>
      </w:tr>
      <w:tr w:rsidR="00F76C69" w:rsidRPr="002B7E42" w:rsidTr="00F76C69">
        <w:trPr>
          <w:trHeight w:hRule="exact" w:val="4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DİYALİZ HEMŞİRESİ </w:t>
            </w:r>
            <w:r w:rsidRPr="002B7E42">
              <w:rPr>
                <w:rFonts w:ascii="Times New Roman" w:hAnsi="Times New Roman"/>
                <w:b/>
                <w:sz w:val="18"/>
                <w:szCs w:val="18"/>
              </w:rPr>
              <w:t>GÖREV YETKİ VE SORUMLULUKLARI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B7E42">
              <w:rPr>
                <w:rFonts w:ascii="Times New Roman" w:hAnsi="Times New Roman"/>
                <w:sz w:val="18"/>
                <w:szCs w:val="18"/>
              </w:rPr>
              <w:t>Sayfa 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69" w:rsidRPr="002B7E42" w:rsidRDefault="00F76C69" w:rsidP="00F76C6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B7E42">
              <w:rPr>
                <w:rFonts w:ascii="Times New Roman" w:hAnsi="Times New Roman"/>
                <w:sz w:val="18"/>
                <w:szCs w:val="18"/>
              </w:rPr>
              <w:t>1/</w:t>
            </w:r>
            <w:r w:rsidR="00D336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9325A5" w:rsidRDefault="003F0D93" w:rsidP="009325A5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-447040</wp:posOffset>
            </wp:positionH>
            <wp:positionV relativeFrom="paragraph">
              <wp:posOffset>-343535</wp:posOffset>
            </wp:positionV>
            <wp:extent cx="1129030" cy="1113155"/>
            <wp:effectExtent l="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9C0" w:rsidRPr="009325A5" w:rsidRDefault="009129C0" w:rsidP="009325A5">
      <w:pPr>
        <w:pStyle w:val="AralkYok"/>
        <w:ind w:left="-709"/>
        <w:rPr>
          <w:rFonts w:ascii="Times New Roman" w:hAnsi="Times New Roman"/>
        </w:rPr>
      </w:pPr>
      <w:proofErr w:type="gramStart"/>
      <w:r w:rsidRPr="009325A5">
        <w:rPr>
          <w:rFonts w:ascii="Times New Roman" w:hAnsi="Times New Roman"/>
          <w:b/>
        </w:rPr>
        <w:t>BİRİM:</w:t>
      </w:r>
      <w:r w:rsidR="00F76C69" w:rsidRPr="009325A5">
        <w:rPr>
          <w:rFonts w:ascii="Times New Roman" w:hAnsi="Times New Roman"/>
        </w:rPr>
        <w:t>Diyaliz</w:t>
      </w:r>
      <w:proofErr w:type="gramEnd"/>
      <w:r w:rsidR="00F76C69" w:rsidRPr="009325A5">
        <w:rPr>
          <w:rFonts w:ascii="Times New Roman" w:hAnsi="Times New Roman"/>
        </w:rPr>
        <w:t xml:space="preserve">  Ünitesi</w:t>
      </w:r>
    </w:p>
    <w:p w:rsidR="009129C0" w:rsidRPr="009325A5" w:rsidRDefault="009129C0" w:rsidP="009325A5">
      <w:pPr>
        <w:pStyle w:val="AralkYok"/>
        <w:ind w:left="-709"/>
        <w:rPr>
          <w:rFonts w:ascii="Times New Roman" w:hAnsi="Times New Roman"/>
        </w:rPr>
      </w:pPr>
      <w:r w:rsidRPr="009325A5">
        <w:rPr>
          <w:rFonts w:ascii="Times New Roman" w:hAnsi="Times New Roman"/>
          <w:b/>
        </w:rPr>
        <w:t>GÖREV ADI:</w:t>
      </w:r>
      <w:r w:rsidR="00F76C69" w:rsidRPr="009325A5">
        <w:rPr>
          <w:rFonts w:ascii="Times New Roman" w:hAnsi="Times New Roman"/>
        </w:rPr>
        <w:t xml:space="preserve"> </w:t>
      </w:r>
      <w:proofErr w:type="gramStart"/>
      <w:r w:rsidR="00F76C69" w:rsidRPr="009325A5">
        <w:rPr>
          <w:rFonts w:ascii="Times New Roman" w:hAnsi="Times New Roman"/>
        </w:rPr>
        <w:t>Diyaliz  Ünitesi</w:t>
      </w:r>
      <w:proofErr w:type="gramEnd"/>
      <w:r w:rsidR="00F76C69" w:rsidRPr="009325A5">
        <w:rPr>
          <w:rFonts w:ascii="Times New Roman" w:hAnsi="Times New Roman"/>
        </w:rPr>
        <w:t xml:space="preserve"> Sorumlu </w:t>
      </w:r>
      <w:r w:rsidRPr="009325A5">
        <w:rPr>
          <w:rFonts w:ascii="Times New Roman" w:hAnsi="Times New Roman"/>
          <w:b/>
        </w:rPr>
        <w:t xml:space="preserve"> </w:t>
      </w:r>
      <w:r w:rsidRPr="009325A5">
        <w:rPr>
          <w:rFonts w:ascii="Times New Roman" w:hAnsi="Times New Roman"/>
        </w:rPr>
        <w:t>Hemşire</w:t>
      </w:r>
      <w:r w:rsidR="00F76C69" w:rsidRPr="009325A5">
        <w:rPr>
          <w:rFonts w:ascii="Times New Roman" w:hAnsi="Times New Roman"/>
        </w:rPr>
        <w:t>si</w:t>
      </w:r>
    </w:p>
    <w:p w:rsidR="009129C0" w:rsidRPr="009325A5" w:rsidRDefault="009129C0" w:rsidP="009325A5">
      <w:pPr>
        <w:pStyle w:val="AralkYok"/>
        <w:ind w:left="-709"/>
        <w:rPr>
          <w:rFonts w:ascii="Times New Roman" w:hAnsi="Times New Roman"/>
        </w:rPr>
      </w:pPr>
      <w:r w:rsidRPr="009325A5">
        <w:rPr>
          <w:rFonts w:ascii="Times New Roman" w:hAnsi="Times New Roman"/>
          <w:b/>
        </w:rPr>
        <w:t xml:space="preserve">AMİR VE ÜST </w:t>
      </w:r>
      <w:proofErr w:type="gramStart"/>
      <w:r w:rsidRPr="009325A5">
        <w:rPr>
          <w:rFonts w:ascii="Times New Roman" w:hAnsi="Times New Roman"/>
          <w:b/>
        </w:rPr>
        <w:t>AMİRLER:</w:t>
      </w:r>
      <w:r w:rsidRPr="009325A5">
        <w:rPr>
          <w:rFonts w:ascii="Times New Roman" w:hAnsi="Times New Roman"/>
        </w:rPr>
        <w:t>Sağlık</w:t>
      </w:r>
      <w:proofErr w:type="gramEnd"/>
      <w:r w:rsidRPr="009325A5">
        <w:rPr>
          <w:rFonts w:ascii="Times New Roman" w:hAnsi="Times New Roman"/>
        </w:rPr>
        <w:t xml:space="preserve"> Bakım Hizmetleri Müdürü</w:t>
      </w:r>
      <w:r w:rsidR="00F76C69" w:rsidRPr="009325A5">
        <w:rPr>
          <w:rFonts w:ascii="Times New Roman" w:hAnsi="Times New Roman"/>
        </w:rPr>
        <w:t>, Başhekim</w:t>
      </w:r>
    </w:p>
    <w:p w:rsidR="009129C0" w:rsidRPr="009325A5" w:rsidRDefault="009129C0" w:rsidP="009325A5">
      <w:pPr>
        <w:pStyle w:val="AralkYok"/>
        <w:ind w:left="-709"/>
        <w:rPr>
          <w:rFonts w:ascii="Times New Roman" w:hAnsi="Times New Roman"/>
        </w:rPr>
      </w:pPr>
      <w:r w:rsidRPr="009325A5">
        <w:rPr>
          <w:rFonts w:ascii="Times New Roman" w:hAnsi="Times New Roman"/>
          <w:b/>
        </w:rPr>
        <w:t>GÖREV DEVRİ:</w:t>
      </w:r>
      <w:r w:rsidRPr="009325A5">
        <w:rPr>
          <w:rFonts w:ascii="Times New Roman" w:hAnsi="Times New Roman"/>
        </w:rPr>
        <w:t xml:space="preserve"> </w:t>
      </w:r>
      <w:proofErr w:type="gramStart"/>
      <w:r w:rsidR="00F76C69" w:rsidRPr="009325A5">
        <w:rPr>
          <w:rFonts w:ascii="Times New Roman" w:hAnsi="Times New Roman"/>
        </w:rPr>
        <w:t>Sorumlu  Hemşire</w:t>
      </w:r>
      <w:proofErr w:type="gramEnd"/>
      <w:r w:rsidR="00F76C69" w:rsidRPr="009325A5">
        <w:rPr>
          <w:rFonts w:ascii="Times New Roman" w:hAnsi="Times New Roman"/>
        </w:rPr>
        <w:t xml:space="preserve"> Yardımcısı</w:t>
      </w:r>
    </w:p>
    <w:p w:rsidR="009129C0" w:rsidRPr="009325A5" w:rsidRDefault="009129C0" w:rsidP="009325A5">
      <w:pPr>
        <w:pStyle w:val="AralkYok"/>
        <w:ind w:left="-709"/>
        <w:rPr>
          <w:rFonts w:ascii="Times New Roman" w:eastAsia="Times New Roman" w:hAnsi="Times New Roman"/>
          <w:lang w:eastAsia="tr-TR"/>
        </w:rPr>
      </w:pPr>
      <w:r w:rsidRPr="009325A5">
        <w:rPr>
          <w:rFonts w:ascii="Times New Roman" w:hAnsi="Times New Roman"/>
          <w:b/>
          <w:bCs/>
        </w:rPr>
        <w:t xml:space="preserve">GÖREV </w:t>
      </w:r>
      <w:proofErr w:type="gramStart"/>
      <w:r w:rsidRPr="009325A5">
        <w:rPr>
          <w:rFonts w:ascii="Times New Roman" w:hAnsi="Times New Roman"/>
          <w:b/>
          <w:bCs/>
        </w:rPr>
        <w:t>AMACI</w:t>
      </w:r>
      <w:r w:rsidR="00F76C69" w:rsidRPr="009325A5">
        <w:rPr>
          <w:rFonts w:ascii="Times New Roman" w:hAnsi="Times New Roman"/>
          <w:b/>
          <w:bCs/>
        </w:rPr>
        <w:t>:</w:t>
      </w:r>
      <w:r w:rsidR="00F76C69" w:rsidRPr="009325A5">
        <w:rPr>
          <w:rFonts w:ascii="Times New Roman" w:hAnsi="Times New Roman"/>
          <w:bCs/>
        </w:rPr>
        <w:t>Diyaliz</w:t>
      </w:r>
      <w:proofErr w:type="gramEnd"/>
      <w:r w:rsidR="00F76C69" w:rsidRPr="009325A5">
        <w:rPr>
          <w:rFonts w:ascii="Times New Roman" w:eastAsia="Times New Roman" w:hAnsi="Times New Roman"/>
          <w:lang w:eastAsia="tr-TR"/>
        </w:rPr>
        <w:t xml:space="preserve"> Ünitesi’nin ihtiyaç ve taleplerini değerlendirmek, gerekli teknik eksikliklerinin giderilmesi yönünde çalışmalar yapmak,denetlemeler yapmak ve eleman desteği sağlamakla sorumludur.</w:t>
      </w:r>
    </w:p>
    <w:p w:rsidR="00F76C69" w:rsidRPr="009325A5" w:rsidRDefault="00F76C69" w:rsidP="009325A5">
      <w:pPr>
        <w:pStyle w:val="AralkYok"/>
        <w:ind w:left="-709"/>
        <w:rPr>
          <w:rFonts w:ascii="Times New Roman" w:eastAsia="Times New Roman" w:hAnsi="Times New Roman"/>
          <w:lang w:eastAsia="tr-TR"/>
        </w:rPr>
      </w:pPr>
      <w:r w:rsidRPr="009325A5">
        <w:rPr>
          <w:rFonts w:ascii="Times New Roman" w:eastAsia="Times New Roman" w:hAnsi="Times New Roman"/>
          <w:b/>
          <w:lang w:eastAsia="tr-TR"/>
        </w:rPr>
        <w:t xml:space="preserve">TEMEL İŞ VE </w:t>
      </w:r>
      <w:proofErr w:type="gramStart"/>
      <w:r w:rsidRPr="009325A5">
        <w:rPr>
          <w:rFonts w:ascii="Times New Roman" w:eastAsia="Times New Roman" w:hAnsi="Times New Roman"/>
          <w:b/>
          <w:lang w:eastAsia="tr-TR"/>
        </w:rPr>
        <w:t xml:space="preserve">SORUMLULUKLAR : </w:t>
      </w:r>
      <w:r w:rsidRPr="009325A5">
        <w:rPr>
          <w:rFonts w:ascii="Times New Roman" w:eastAsia="Times New Roman" w:hAnsi="Times New Roman"/>
          <w:lang w:eastAsia="tr-TR"/>
        </w:rPr>
        <w:t>Diyaliz</w:t>
      </w:r>
      <w:proofErr w:type="gramEnd"/>
      <w:r w:rsidRPr="009325A5">
        <w:rPr>
          <w:rFonts w:ascii="Times New Roman" w:eastAsia="Times New Roman" w:hAnsi="Times New Roman"/>
          <w:lang w:eastAsia="tr-TR"/>
        </w:rPr>
        <w:t xml:space="preserve"> Ünitesi Sağlık Bakım Hizmetlerinin işleyişini sevk ve idare etmek.</w:t>
      </w:r>
    </w:p>
    <w:p w:rsidR="006D7B76" w:rsidRPr="009325A5" w:rsidRDefault="009129C0" w:rsidP="009325A5">
      <w:pPr>
        <w:pStyle w:val="AralkYok"/>
        <w:ind w:left="-851" w:firstLine="142"/>
        <w:rPr>
          <w:rFonts w:ascii="Times New Roman" w:hAnsi="Times New Roman"/>
          <w:b/>
        </w:rPr>
      </w:pPr>
      <w:r w:rsidRPr="009325A5">
        <w:rPr>
          <w:rFonts w:ascii="Times New Roman" w:hAnsi="Times New Roman"/>
          <w:b/>
        </w:rPr>
        <w:t>GÖREVLERİ: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eastAsia="ヒラギノ明朝 Pro W3" w:hAnsi="Times New Roman"/>
        </w:rPr>
        <w:t xml:space="preserve">Hastanın kendi kendine yönetimi ve bakımını destekler. Hastayı diyalize hazırlar. Hasta, ilk defa diyalize giriyor ise diyaliz ekibi ve diğer hastalarla tanıştırır. İşlem ve diyaliz merkezi hakkında bilgi verir. Diyalizin </w:t>
      </w:r>
      <w:proofErr w:type="gramStart"/>
      <w:r w:rsidRPr="009325A5">
        <w:rPr>
          <w:rFonts w:ascii="Times New Roman" w:eastAsia="ヒラギノ明朝 Pro W3" w:hAnsi="Times New Roman"/>
        </w:rPr>
        <w:t>komplikasyonları</w:t>
      </w:r>
      <w:proofErr w:type="gramEnd"/>
      <w:r w:rsidRPr="009325A5">
        <w:rPr>
          <w:rFonts w:ascii="Times New Roman" w:eastAsia="ヒラギノ明朝 Pro W3" w:hAnsi="Times New Roman"/>
        </w:rPr>
        <w:t>, belirtileri yönünden bilgilendirir.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eastAsia="ヒラギノ明朝 Pro W3" w:hAnsi="Times New Roman"/>
        </w:rPr>
        <w:t xml:space="preserve">Diyaliz işlemi sırasında oluşabilecek </w:t>
      </w:r>
      <w:proofErr w:type="gramStart"/>
      <w:r w:rsidRPr="009325A5">
        <w:rPr>
          <w:rFonts w:ascii="Times New Roman" w:eastAsia="ヒラギノ明朝 Pro W3" w:hAnsi="Times New Roman"/>
        </w:rPr>
        <w:t>komplikasyonlara</w:t>
      </w:r>
      <w:proofErr w:type="gramEnd"/>
      <w:r w:rsidRPr="009325A5">
        <w:rPr>
          <w:rFonts w:ascii="Times New Roman" w:eastAsia="ヒラギノ明朝 Pro W3" w:hAnsi="Times New Roman"/>
        </w:rPr>
        <w:t xml:space="preserve"> müdahale eder.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eastAsia="ヒラギノ明朝 Pro W3" w:hAnsi="Times New Roman"/>
        </w:rPr>
        <w:t>Hemodiyalize alınacak hastanın vasküler giriş yolunu değerlendirir.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eastAsia="ヒラギノ明朝 Pro W3" w:hAnsi="Times New Roman"/>
        </w:rPr>
        <w:t>Hasta ve yakınlarını diyaliz işlemi, süresi, randevu saati konularında bilgilendirir.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eastAsia="ヒラギノ明朝 Pro W3" w:hAnsi="Times New Roman"/>
        </w:rPr>
        <w:t>Gerekli durumlarda hastayı sosyal ve psikolojik destek açısından yönlendirir.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eastAsia="ヒラギノ明朝 Pro W3" w:hAnsi="Times New Roman"/>
        </w:rPr>
        <w:t>Diyaliz öncesi ve sonrası hastayı tartar, diyaliz süresince yaşam bulgularını kontrol eder.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eastAsia="ヒラギノ明朝 Pro W3" w:hAnsi="Times New Roman"/>
        </w:rPr>
        <w:t>Diyaliz giriş yerinin bakımını yapar.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eastAsia="ヒラギノ明朝 Pro W3" w:hAnsi="Times New Roman"/>
        </w:rPr>
        <w:t xml:space="preserve">Hekim istemi doğrultusunda uygun </w:t>
      </w:r>
      <w:proofErr w:type="spellStart"/>
      <w:r w:rsidRPr="009325A5">
        <w:rPr>
          <w:rFonts w:ascii="Times New Roman" w:eastAsia="ヒラギノ明朝 Pro W3" w:hAnsi="Times New Roman"/>
        </w:rPr>
        <w:t>diyalizer</w:t>
      </w:r>
      <w:proofErr w:type="spellEnd"/>
      <w:r w:rsidRPr="009325A5">
        <w:rPr>
          <w:rFonts w:ascii="Times New Roman" w:eastAsia="ヒラギノ明朝 Pro W3" w:hAnsi="Times New Roman"/>
        </w:rPr>
        <w:t xml:space="preserve"> ve </w:t>
      </w:r>
      <w:proofErr w:type="spellStart"/>
      <w:r w:rsidRPr="009325A5">
        <w:rPr>
          <w:rFonts w:ascii="Times New Roman" w:eastAsia="ヒラギノ明朝 Pro W3" w:hAnsi="Times New Roman"/>
        </w:rPr>
        <w:t>diyalizatı</w:t>
      </w:r>
      <w:proofErr w:type="spellEnd"/>
      <w:r w:rsidRPr="009325A5">
        <w:rPr>
          <w:rFonts w:ascii="Times New Roman" w:eastAsia="ヒラギノ明朝 Pro W3" w:hAnsi="Times New Roman"/>
        </w:rPr>
        <w:t xml:space="preserve"> hazırlar.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proofErr w:type="spellStart"/>
      <w:r w:rsidRPr="009325A5">
        <w:rPr>
          <w:rFonts w:ascii="Times New Roman" w:eastAsia="ヒラギノ明朝 Pro W3" w:hAnsi="Times New Roman"/>
        </w:rPr>
        <w:t>Arteriovenöz</w:t>
      </w:r>
      <w:proofErr w:type="spellEnd"/>
      <w:r w:rsidRPr="009325A5">
        <w:rPr>
          <w:rFonts w:ascii="Times New Roman" w:eastAsia="ヒラギノ明朝 Pro W3" w:hAnsi="Times New Roman"/>
        </w:rPr>
        <w:t xml:space="preserve"> fistül girişimini yapar.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eastAsia="ヒラギノ明朝 Pro W3" w:hAnsi="Times New Roman"/>
        </w:rPr>
        <w:t>Hasta ve hasta yakınlarına diyaliz işlemi, diyaliz süresi ve fistül bakımı gibi konularda gerekli eğitimi verir.</w:t>
      </w:r>
    </w:p>
    <w:p w:rsidR="009325A5" w:rsidRPr="009325A5" w:rsidRDefault="006D7B76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hAnsi="Times New Roman"/>
        </w:rPr>
        <w:t>Diyaliz ekibi ile birlikte hastanın evdeki bakımına ilişkin eğitim verir (banyo,  beslenme, fistül bakımı, sıvı alımı ve hastanın kendi kendine bakım desteği).</w:t>
      </w:r>
    </w:p>
    <w:p w:rsidR="009325A5" w:rsidRPr="009325A5" w:rsidRDefault="007640F2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hAnsi="Times New Roman"/>
          <w:color w:val="000000"/>
          <w:shd w:val="clear" w:color="auto" w:fill="FFFFFF"/>
        </w:rPr>
        <w:t>Sağlık Bakanlığı Sağlıkta Kalite Standartlarının bölümü ile ilgili maddelerini uygulayıp, denetlemek ve bölüm kalite sorumlusu ile koordineli çalışmak.</w:t>
      </w:r>
    </w:p>
    <w:p w:rsidR="007640F2" w:rsidRPr="009325A5" w:rsidRDefault="007640F2" w:rsidP="009325A5">
      <w:pPr>
        <w:pStyle w:val="ListeParagraf"/>
        <w:numPr>
          <w:ilvl w:val="0"/>
          <w:numId w:val="1"/>
        </w:numPr>
        <w:tabs>
          <w:tab w:val="left" w:pos="-426"/>
          <w:tab w:val="left" w:pos="566"/>
          <w:tab w:val="left" w:pos="9356"/>
          <w:tab w:val="left" w:pos="9498"/>
        </w:tabs>
        <w:spacing w:after="0" w:line="240" w:lineRule="exact"/>
        <w:ind w:left="-709" w:right="-425" w:firstLine="0"/>
        <w:jc w:val="both"/>
        <w:rPr>
          <w:rFonts w:ascii="Times New Roman" w:eastAsia="ヒラギノ明朝 Pro W3" w:hAnsi="Times New Roman"/>
        </w:rPr>
      </w:pPr>
      <w:r w:rsidRPr="009325A5">
        <w:rPr>
          <w:rFonts w:ascii="Times New Roman" w:hAnsi="Times New Roman"/>
        </w:rPr>
        <w:t>İlgili komitelerde görev alır.</w:t>
      </w:r>
    </w:p>
    <w:p w:rsidR="006D7B76" w:rsidRPr="009325A5" w:rsidRDefault="006D7B76" w:rsidP="007640F2">
      <w:pPr>
        <w:pStyle w:val="AralkYok"/>
        <w:tabs>
          <w:tab w:val="left" w:pos="9356"/>
          <w:tab w:val="left" w:pos="9498"/>
        </w:tabs>
        <w:ind w:right="-425"/>
        <w:rPr>
          <w:rFonts w:ascii="Times New Roman" w:hAnsi="Times New Roman"/>
        </w:rPr>
      </w:pPr>
    </w:p>
    <w:p w:rsidR="009325A5" w:rsidRPr="009325A5" w:rsidRDefault="009325A5" w:rsidP="009325A5">
      <w:pPr>
        <w:pStyle w:val="AralkYok"/>
        <w:ind w:left="-851" w:firstLine="142"/>
        <w:rPr>
          <w:rFonts w:ascii="Times New Roman" w:hAnsi="Times New Roman"/>
        </w:rPr>
      </w:pPr>
      <w:r w:rsidRPr="009325A5">
        <w:rPr>
          <w:rFonts w:ascii="Times New Roman" w:hAnsi="Times New Roman"/>
          <w:b/>
        </w:rPr>
        <w:t>SAĞLIK MESLEKLERİ İÇİN ETİK İLKELER:</w:t>
      </w:r>
    </w:p>
    <w:p w:rsidR="009325A5" w:rsidRPr="00EC418C" w:rsidRDefault="009325A5" w:rsidP="009325A5">
      <w:pPr>
        <w:pStyle w:val="AralkYok"/>
        <w:numPr>
          <w:ilvl w:val="0"/>
          <w:numId w:val="4"/>
        </w:numPr>
        <w:tabs>
          <w:tab w:val="left" w:pos="-426"/>
        </w:tabs>
        <w:ind w:left="-851" w:firstLine="142"/>
        <w:rPr>
          <w:rFonts w:ascii="Times New Roman" w:hAnsi="Times New Roman"/>
          <w:color w:val="000000"/>
        </w:rPr>
      </w:pPr>
      <w:r w:rsidRPr="00EC418C">
        <w:rPr>
          <w:rFonts w:ascii="Times New Roman" w:hAnsi="Times New Roman"/>
        </w:rPr>
        <w:t>Özerkliğe Saygı İlkesi(Otonomi)</w:t>
      </w:r>
    </w:p>
    <w:p w:rsidR="009325A5" w:rsidRPr="00EC418C" w:rsidRDefault="009325A5" w:rsidP="009325A5">
      <w:pPr>
        <w:pStyle w:val="AralkYok"/>
        <w:numPr>
          <w:ilvl w:val="0"/>
          <w:numId w:val="4"/>
        </w:numPr>
        <w:tabs>
          <w:tab w:val="left" w:pos="-426"/>
        </w:tabs>
        <w:ind w:left="-851" w:firstLine="142"/>
        <w:rPr>
          <w:rFonts w:ascii="Times New Roman" w:hAnsi="Times New Roman"/>
          <w:color w:val="000000"/>
        </w:rPr>
      </w:pPr>
      <w:r w:rsidRPr="00EC418C">
        <w:rPr>
          <w:rFonts w:ascii="Times New Roman" w:hAnsi="Times New Roman"/>
        </w:rPr>
        <w:t>Yararlılık İlkesi</w:t>
      </w:r>
    </w:p>
    <w:p w:rsidR="009325A5" w:rsidRPr="00EC418C" w:rsidRDefault="009325A5" w:rsidP="009325A5">
      <w:pPr>
        <w:pStyle w:val="AralkYok"/>
        <w:numPr>
          <w:ilvl w:val="0"/>
          <w:numId w:val="4"/>
        </w:numPr>
        <w:tabs>
          <w:tab w:val="left" w:pos="-426"/>
        </w:tabs>
        <w:ind w:left="-851" w:firstLine="142"/>
        <w:rPr>
          <w:rFonts w:ascii="Times New Roman" w:hAnsi="Times New Roman"/>
          <w:color w:val="000000"/>
        </w:rPr>
      </w:pPr>
      <w:r w:rsidRPr="00EC418C">
        <w:rPr>
          <w:rFonts w:ascii="Times New Roman" w:hAnsi="Times New Roman"/>
        </w:rPr>
        <w:t>Aydınlatılmış Onam İlkesi</w:t>
      </w:r>
    </w:p>
    <w:p w:rsidR="009325A5" w:rsidRPr="00EC418C" w:rsidRDefault="009325A5" w:rsidP="009325A5">
      <w:pPr>
        <w:pStyle w:val="AralkYok"/>
        <w:numPr>
          <w:ilvl w:val="0"/>
          <w:numId w:val="4"/>
        </w:numPr>
        <w:tabs>
          <w:tab w:val="left" w:pos="-426"/>
        </w:tabs>
        <w:ind w:left="-851" w:firstLine="142"/>
        <w:rPr>
          <w:rFonts w:ascii="Times New Roman" w:hAnsi="Times New Roman"/>
          <w:color w:val="000000"/>
        </w:rPr>
      </w:pPr>
      <w:r w:rsidRPr="00EC418C">
        <w:rPr>
          <w:rFonts w:ascii="Times New Roman" w:hAnsi="Times New Roman"/>
        </w:rPr>
        <w:t>Adalet İlkesi</w:t>
      </w:r>
    </w:p>
    <w:p w:rsidR="009325A5" w:rsidRPr="00EC418C" w:rsidRDefault="009325A5" w:rsidP="009325A5">
      <w:pPr>
        <w:pStyle w:val="AralkYok"/>
        <w:numPr>
          <w:ilvl w:val="0"/>
          <w:numId w:val="4"/>
        </w:numPr>
        <w:tabs>
          <w:tab w:val="left" w:pos="-426"/>
        </w:tabs>
        <w:ind w:left="-851" w:firstLine="142"/>
        <w:rPr>
          <w:rFonts w:ascii="Times New Roman" w:hAnsi="Times New Roman"/>
          <w:color w:val="000000"/>
        </w:rPr>
      </w:pPr>
      <w:r w:rsidRPr="00EC418C">
        <w:rPr>
          <w:rFonts w:ascii="Times New Roman" w:hAnsi="Times New Roman"/>
        </w:rPr>
        <w:t>Dürüstlük ve Doğruluk İlkesi</w:t>
      </w:r>
    </w:p>
    <w:p w:rsidR="009325A5" w:rsidRPr="00EC418C" w:rsidRDefault="009325A5" w:rsidP="009325A5">
      <w:pPr>
        <w:pStyle w:val="AralkYok"/>
        <w:numPr>
          <w:ilvl w:val="0"/>
          <w:numId w:val="4"/>
        </w:numPr>
        <w:tabs>
          <w:tab w:val="left" w:pos="-426"/>
        </w:tabs>
        <w:ind w:left="-851" w:firstLine="142"/>
        <w:rPr>
          <w:rFonts w:ascii="Times New Roman" w:hAnsi="Times New Roman"/>
          <w:color w:val="000000"/>
        </w:rPr>
      </w:pPr>
      <w:r w:rsidRPr="00EC418C">
        <w:rPr>
          <w:rFonts w:ascii="Times New Roman" w:hAnsi="Times New Roman"/>
        </w:rPr>
        <w:t>Sadakat/Sözünde Durma İlkesi</w:t>
      </w:r>
    </w:p>
    <w:p w:rsidR="009325A5" w:rsidRPr="00EC418C" w:rsidRDefault="009325A5" w:rsidP="009325A5">
      <w:pPr>
        <w:pStyle w:val="AralkYok"/>
        <w:numPr>
          <w:ilvl w:val="0"/>
          <w:numId w:val="4"/>
        </w:numPr>
        <w:tabs>
          <w:tab w:val="left" w:pos="-426"/>
        </w:tabs>
        <w:ind w:left="-851" w:firstLine="142"/>
        <w:rPr>
          <w:rFonts w:ascii="Times New Roman" w:hAnsi="Times New Roman"/>
          <w:color w:val="000000"/>
        </w:rPr>
      </w:pPr>
      <w:r w:rsidRPr="00EC418C">
        <w:rPr>
          <w:rFonts w:ascii="Times New Roman" w:hAnsi="Times New Roman"/>
        </w:rPr>
        <w:t>Sır Saklama İlkesi</w:t>
      </w:r>
    </w:p>
    <w:p w:rsidR="009325A5" w:rsidRPr="00EC418C" w:rsidRDefault="009325A5" w:rsidP="009325A5">
      <w:pPr>
        <w:pStyle w:val="AralkYok"/>
        <w:numPr>
          <w:ilvl w:val="0"/>
          <w:numId w:val="4"/>
        </w:numPr>
        <w:tabs>
          <w:tab w:val="left" w:pos="-426"/>
        </w:tabs>
        <w:ind w:left="-851" w:firstLine="142"/>
        <w:rPr>
          <w:rFonts w:ascii="Times New Roman" w:hAnsi="Times New Roman"/>
          <w:color w:val="000000"/>
        </w:rPr>
      </w:pPr>
      <w:r w:rsidRPr="00EC418C">
        <w:rPr>
          <w:rFonts w:ascii="Times New Roman" w:hAnsi="Times New Roman"/>
        </w:rPr>
        <w:t>Gerçeğe Uyma İlkesi</w:t>
      </w:r>
    </w:p>
    <w:p w:rsidR="009325A5" w:rsidRPr="00EC418C" w:rsidRDefault="009325A5" w:rsidP="009325A5">
      <w:pPr>
        <w:pStyle w:val="AralkYok"/>
        <w:numPr>
          <w:ilvl w:val="0"/>
          <w:numId w:val="4"/>
        </w:numPr>
        <w:tabs>
          <w:tab w:val="left" w:pos="-426"/>
        </w:tabs>
        <w:ind w:left="-851" w:firstLine="142"/>
        <w:rPr>
          <w:rFonts w:ascii="Times New Roman" w:hAnsi="Times New Roman"/>
          <w:color w:val="000000"/>
        </w:rPr>
      </w:pPr>
      <w:r w:rsidRPr="00EC418C">
        <w:rPr>
          <w:rFonts w:ascii="Times New Roman" w:hAnsi="Times New Roman"/>
        </w:rPr>
        <w:t>Sözcülük</w:t>
      </w:r>
    </w:p>
    <w:p w:rsidR="007640F2" w:rsidRDefault="007640F2" w:rsidP="007640F2">
      <w:pPr>
        <w:pStyle w:val="AralkYok"/>
        <w:tabs>
          <w:tab w:val="left" w:pos="9356"/>
          <w:tab w:val="left" w:pos="9498"/>
        </w:tabs>
        <w:ind w:right="-425"/>
        <w:rPr>
          <w:rFonts w:ascii="Times New Roman" w:hAnsi="Times New Roman"/>
        </w:rPr>
      </w:pPr>
    </w:p>
    <w:p w:rsidR="007640F2" w:rsidRDefault="007640F2" w:rsidP="007640F2">
      <w:pPr>
        <w:pStyle w:val="AralkYok"/>
        <w:tabs>
          <w:tab w:val="left" w:pos="9356"/>
          <w:tab w:val="left" w:pos="9498"/>
        </w:tabs>
        <w:ind w:right="-425"/>
        <w:rPr>
          <w:rFonts w:ascii="Times New Roman" w:hAnsi="Times New Roman"/>
        </w:rPr>
      </w:pPr>
    </w:p>
    <w:p w:rsidR="007640F2" w:rsidRPr="007640F2" w:rsidRDefault="007640F2" w:rsidP="007640F2">
      <w:pPr>
        <w:pStyle w:val="AralkYok"/>
        <w:tabs>
          <w:tab w:val="left" w:pos="9356"/>
          <w:tab w:val="left" w:pos="9498"/>
        </w:tabs>
        <w:ind w:right="-425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margin" w:tblpXSpec="center" w:tblpY="-36"/>
        <w:tblW w:w="10843" w:type="dxa"/>
        <w:tblLayout w:type="fixed"/>
        <w:tblLook w:val="01E0"/>
      </w:tblPr>
      <w:tblGrid>
        <w:gridCol w:w="3848"/>
        <w:gridCol w:w="3850"/>
        <w:gridCol w:w="3145"/>
      </w:tblGrid>
      <w:tr w:rsidR="0041775F" w:rsidTr="0041775F">
        <w:trPr>
          <w:trHeight w:hRule="exact" w:val="581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75F" w:rsidRDefault="0041775F" w:rsidP="0041775F">
            <w:pPr>
              <w:pStyle w:val="TableParagraph"/>
              <w:spacing w:line="229" w:lineRule="exact"/>
              <w:ind w:left="12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HAZIRLAYAN</w:t>
            </w:r>
          </w:p>
          <w:p w:rsidR="0041775F" w:rsidRDefault="0041775F" w:rsidP="0041775F">
            <w:pPr>
              <w:pStyle w:val="TableParagraph"/>
              <w:spacing w:line="230" w:lineRule="exact"/>
              <w:ind w:left="6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75F" w:rsidRDefault="0041775F" w:rsidP="00013FEF">
            <w:pPr>
              <w:pStyle w:val="TableParagraph"/>
              <w:spacing w:before="2" w:line="230" w:lineRule="exact"/>
              <w:ind w:left="373" w:right="374" w:firstLine="7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KONTROL EDEN</w:t>
            </w:r>
            <w:r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75F" w:rsidRDefault="0041775F" w:rsidP="0041775F">
            <w:pPr>
              <w:pStyle w:val="TableParagraph"/>
              <w:spacing w:before="2" w:line="230" w:lineRule="exact"/>
              <w:ind w:left="422" w:right="492" w:firstLine="813"/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ONAY</w:t>
            </w:r>
          </w:p>
          <w:p w:rsidR="0041775F" w:rsidRDefault="0041775F" w:rsidP="0041775F">
            <w:pPr>
              <w:pStyle w:val="TableParagraph"/>
              <w:spacing w:before="2" w:line="230" w:lineRule="exact"/>
              <w:ind w:right="4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75F" w:rsidTr="0041775F">
        <w:trPr>
          <w:trHeight w:hRule="exact" w:val="862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75F" w:rsidRDefault="0041775F" w:rsidP="0041775F"/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75F" w:rsidRDefault="0041775F" w:rsidP="0041775F"/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75F" w:rsidRDefault="0041775F" w:rsidP="0041775F"/>
        </w:tc>
      </w:tr>
    </w:tbl>
    <w:p w:rsidR="0041775F" w:rsidRDefault="0041775F" w:rsidP="009325A5">
      <w:pPr>
        <w:rPr>
          <w:rFonts w:ascii="Times New Roman" w:hAnsi="Times New Roman"/>
        </w:rPr>
      </w:pPr>
    </w:p>
    <w:p w:rsidR="0041775F" w:rsidRPr="007640F2" w:rsidRDefault="0041775F" w:rsidP="009129C0">
      <w:pPr>
        <w:ind w:left="-142" w:hanging="502"/>
        <w:rPr>
          <w:rFonts w:ascii="Times New Roman" w:hAnsi="Times New Roman"/>
        </w:rPr>
      </w:pPr>
    </w:p>
    <w:sectPr w:rsidR="0041775F" w:rsidRPr="007640F2" w:rsidSect="007640F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403"/>
    <w:multiLevelType w:val="hybridMultilevel"/>
    <w:tmpl w:val="38DA779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">
    <w:nsid w:val="447C0BD1"/>
    <w:multiLevelType w:val="hybridMultilevel"/>
    <w:tmpl w:val="4B7C40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0071"/>
    <w:multiLevelType w:val="hybridMultilevel"/>
    <w:tmpl w:val="1E4A831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6551F7"/>
    <w:multiLevelType w:val="hybridMultilevel"/>
    <w:tmpl w:val="FD00A59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7B76"/>
    <w:rsid w:val="00013FEF"/>
    <w:rsid w:val="00210F2C"/>
    <w:rsid w:val="003F0D93"/>
    <w:rsid w:val="0041775F"/>
    <w:rsid w:val="005D25BC"/>
    <w:rsid w:val="00656451"/>
    <w:rsid w:val="006D7B76"/>
    <w:rsid w:val="007640F2"/>
    <w:rsid w:val="009129C0"/>
    <w:rsid w:val="009325A5"/>
    <w:rsid w:val="00AF63AD"/>
    <w:rsid w:val="00B72C83"/>
    <w:rsid w:val="00BB04DE"/>
    <w:rsid w:val="00BC2F6D"/>
    <w:rsid w:val="00D33616"/>
    <w:rsid w:val="00EF5068"/>
    <w:rsid w:val="00F76C69"/>
    <w:rsid w:val="00F9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76"/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2C83"/>
    <w:pPr>
      <w:spacing w:after="0" w:line="240" w:lineRule="auto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B72C83"/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6D7B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775F"/>
    <w:pPr>
      <w:widowControl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cananaydin</dc:creator>
  <cp:lastModifiedBy>pckalıte</cp:lastModifiedBy>
  <cp:revision>2</cp:revision>
  <cp:lastPrinted>2019-09-30T06:46:00Z</cp:lastPrinted>
  <dcterms:created xsi:type="dcterms:W3CDTF">2022-03-14T12:13:00Z</dcterms:created>
  <dcterms:modified xsi:type="dcterms:W3CDTF">2022-03-14T12:13:00Z</dcterms:modified>
</cp:coreProperties>
</file>